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FE08" w14:textId="10BF02E8" w:rsidR="00A1575A" w:rsidRDefault="000C2F90">
      <w:r>
        <w:t xml:space="preserve"> </w:t>
      </w:r>
      <w:r>
        <w:tab/>
      </w:r>
    </w:p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31"/>
        <w:gridCol w:w="906"/>
        <w:gridCol w:w="894"/>
        <w:gridCol w:w="3420"/>
      </w:tblGrid>
      <w:tr w:rsidR="00A1575A" w:rsidRPr="00111E88" w14:paraId="771CD1C1" w14:textId="77777777" w:rsidTr="00A1575A">
        <w:trPr>
          <w:tblHeader/>
          <w:jc w:val="center"/>
        </w:trPr>
        <w:tc>
          <w:tcPr>
            <w:tcW w:w="9151" w:type="dxa"/>
            <w:gridSpan w:val="4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6172D4FC" w14:textId="77777777" w:rsidR="00A1575A" w:rsidRPr="00111E88" w:rsidRDefault="00A1575A" w:rsidP="00A1575A">
            <w:pPr>
              <w:tabs>
                <w:tab w:val="center" w:pos="2085"/>
              </w:tabs>
              <w:jc w:val="center"/>
              <w:rPr>
                <w:b/>
              </w:rPr>
            </w:pPr>
            <w:r w:rsidRPr="00111E88">
              <w:rPr>
                <w:b/>
              </w:rPr>
              <w:t xml:space="preserve">US Radiocommunication Sector </w:t>
            </w:r>
          </w:p>
          <w:p w14:paraId="0D61AC54" w14:textId="77777777" w:rsidR="00A1575A" w:rsidRPr="00111E88" w:rsidRDefault="00A1575A" w:rsidP="00A1575A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111E88">
              <w:rPr>
                <w:b/>
              </w:rPr>
              <w:t>FACT SHEET</w:t>
            </w:r>
          </w:p>
        </w:tc>
      </w:tr>
      <w:tr w:rsidR="00A1575A" w:rsidRPr="00111E88" w14:paraId="3F0D21AB" w14:textId="77777777" w:rsidTr="00E50EB1">
        <w:trPr>
          <w:jc w:val="center"/>
        </w:trPr>
        <w:tc>
          <w:tcPr>
            <w:tcW w:w="4837" w:type="dxa"/>
            <w:gridSpan w:val="2"/>
          </w:tcPr>
          <w:p w14:paraId="27A7BEA5" w14:textId="77777777" w:rsidR="00A1575A" w:rsidRPr="00111E88" w:rsidRDefault="00A1575A" w:rsidP="00A1575A">
            <w:pPr>
              <w:spacing w:line="120" w:lineRule="exact"/>
            </w:pPr>
          </w:p>
          <w:p w14:paraId="69497836" w14:textId="451C0C60" w:rsidR="00A1575A" w:rsidRPr="00111E88" w:rsidRDefault="00A1575A" w:rsidP="00E35CEF">
            <w:pPr>
              <w:spacing w:after="58"/>
            </w:pPr>
            <w:r w:rsidRPr="00111E88">
              <w:rPr>
                <w:b/>
              </w:rPr>
              <w:t>Study Group:</w:t>
            </w:r>
            <w:r w:rsidRPr="00111E88">
              <w:t xml:space="preserve"> USWP </w:t>
            </w:r>
            <w:r w:rsidR="00E35CEF">
              <w:t>7</w:t>
            </w:r>
            <w:r w:rsidR="005A4F88">
              <w:t>D</w:t>
            </w:r>
          </w:p>
        </w:tc>
        <w:tc>
          <w:tcPr>
            <w:tcW w:w="4314" w:type="dxa"/>
            <w:gridSpan w:val="2"/>
          </w:tcPr>
          <w:p w14:paraId="42959944" w14:textId="77777777" w:rsidR="00A1575A" w:rsidRPr="00111E88" w:rsidRDefault="00A1575A" w:rsidP="00A1575A">
            <w:pPr>
              <w:spacing w:line="120" w:lineRule="exact"/>
            </w:pPr>
          </w:p>
          <w:p w14:paraId="0025A3E4" w14:textId="2D8B3281" w:rsidR="00A1575A" w:rsidRPr="00111E88" w:rsidRDefault="00A1575A" w:rsidP="00E50EB1">
            <w:pPr>
              <w:spacing w:after="58"/>
            </w:pPr>
            <w:r w:rsidRPr="00111E88">
              <w:rPr>
                <w:b/>
              </w:rPr>
              <w:t xml:space="preserve">Document No: </w:t>
            </w:r>
            <w:r w:rsidR="00310830" w:rsidRPr="00310830">
              <w:rPr>
                <w:bCs/>
              </w:rPr>
              <w:t>USWP7D_24-04_</w:t>
            </w:r>
            <w:r w:rsidR="00DD244A">
              <w:rPr>
                <w:bCs/>
              </w:rPr>
              <w:t>NC</w:t>
            </w:r>
          </w:p>
        </w:tc>
      </w:tr>
      <w:tr w:rsidR="00A1575A" w:rsidRPr="00111E88" w14:paraId="70CFE7A4" w14:textId="77777777" w:rsidTr="00E50EB1">
        <w:trPr>
          <w:jc w:val="center"/>
        </w:trPr>
        <w:tc>
          <w:tcPr>
            <w:tcW w:w="4837" w:type="dxa"/>
            <w:gridSpan w:val="2"/>
          </w:tcPr>
          <w:p w14:paraId="75D16DAB" w14:textId="77777777" w:rsidR="00A1575A" w:rsidRPr="00111E88" w:rsidRDefault="00A1575A" w:rsidP="00A1575A">
            <w:pPr>
              <w:spacing w:line="120" w:lineRule="exact"/>
            </w:pPr>
          </w:p>
          <w:p w14:paraId="23B52EE7" w14:textId="0AF6BF85" w:rsidR="007551B2" w:rsidRPr="007551B2" w:rsidRDefault="00A1575A" w:rsidP="00A60DDF">
            <w:pPr>
              <w:spacing w:after="58"/>
              <w:rPr>
                <w:bCs/>
              </w:rPr>
            </w:pPr>
            <w:r w:rsidRPr="00111E88">
              <w:rPr>
                <w:b/>
              </w:rPr>
              <w:t>Reference:</w:t>
            </w:r>
            <w:r w:rsidR="009C500E">
              <w:rPr>
                <w:b/>
              </w:rPr>
              <w:t xml:space="preserve"> </w:t>
            </w:r>
            <w:hyperlink r:id="rId10" w:history="1">
              <w:r w:rsidR="005A4F88" w:rsidRPr="00106B23">
                <w:rPr>
                  <w:rStyle w:val="Hyperlink"/>
                  <w:bCs/>
                </w:rPr>
                <w:t>7D</w:t>
              </w:r>
              <w:r w:rsidR="009C500E" w:rsidRPr="00106B23">
                <w:rPr>
                  <w:rStyle w:val="Hyperlink"/>
                  <w:bCs/>
                </w:rPr>
                <w:t>/</w:t>
              </w:r>
              <w:r w:rsidR="009C500E" w:rsidRPr="00106B23">
                <w:rPr>
                  <w:rStyle w:val="Hyperlink"/>
                </w:rPr>
                <w:t xml:space="preserve">41 Annex </w:t>
              </w:r>
              <w:r w:rsidR="00D825B5">
                <w:rPr>
                  <w:rStyle w:val="Hyperlink"/>
                </w:rPr>
                <w:t>1</w:t>
              </w:r>
            </w:hyperlink>
            <w:r w:rsidR="007551B2">
              <w:rPr>
                <w:bCs/>
              </w:rPr>
              <w:t xml:space="preserve"> and </w:t>
            </w:r>
            <w:hyperlink r:id="rId11" w:history="1">
              <w:r w:rsidR="007551B2" w:rsidRPr="002B1357">
                <w:rPr>
                  <w:rStyle w:val="Hyperlink"/>
                </w:rPr>
                <w:t>7D/58</w:t>
              </w:r>
            </w:hyperlink>
          </w:p>
        </w:tc>
        <w:tc>
          <w:tcPr>
            <w:tcW w:w="4314" w:type="dxa"/>
            <w:gridSpan w:val="2"/>
          </w:tcPr>
          <w:p w14:paraId="78D51015" w14:textId="77777777" w:rsidR="00A1575A" w:rsidRPr="00111E88" w:rsidRDefault="00A1575A" w:rsidP="00A1575A">
            <w:pPr>
              <w:spacing w:line="120" w:lineRule="exact"/>
            </w:pPr>
          </w:p>
          <w:p w14:paraId="20D6F05D" w14:textId="6FC3A6F7" w:rsidR="00A1575A" w:rsidRPr="00111E88" w:rsidRDefault="00A1575A" w:rsidP="00A60DDF">
            <w:pPr>
              <w:spacing w:after="58"/>
            </w:pPr>
            <w:r w:rsidRPr="00111E88">
              <w:rPr>
                <w:b/>
              </w:rPr>
              <w:t xml:space="preserve">Date: </w:t>
            </w:r>
            <w:r w:rsidR="0056545B">
              <w:t xml:space="preserve">August </w:t>
            </w:r>
            <w:r w:rsidR="00285955">
              <w:t>15</w:t>
            </w:r>
            <w:r w:rsidR="00E3591C">
              <w:t>, 2024</w:t>
            </w:r>
          </w:p>
        </w:tc>
      </w:tr>
      <w:tr w:rsidR="00A1575A" w:rsidRPr="00111E88" w14:paraId="68FABEC0" w14:textId="77777777" w:rsidTr="00A1575A">
        <w:trPr>
          <w:jc w:val="center"/>
        </w:trPr>
        <w:tc>
          <w:tcPr>
            <w:tcW w:w="9151" w:type="dxa"/>
            <w:gridSpan w:val="4"/>
            <w:tcBorders>
              <w:bottom w:val="nil"/>
              <w:right w:val="double" w:sz="6" w:space="0" w:color="000000"/>
            </w:tcBorders>
          </w:tcPr>
          <w:p w14:paraId="2C9CAAE1" w14:textId="3AAE683F" w:rsidR="00A1575A" w:rsidRPr="00111E88" w:rsidRDefault="00A1575A" w:rsidP="008853DE">
            <w:pPr>
              <w:keepNext/>
              <w:keepLines/>
              <w:ind w:left="1138" w:hanging="1138"/>
            </w:pPr>
            <w:r w:rsidRPr="00111E88">
              <w:rPr>
                <w:b/>
              </w:rPr>
              <w:t>Document Title</w:t>
            </w:r>
            <w:r w:rsidR="003225D5">
              <w:rPr>
                <w:b/>
              </w:rPr>
              <w:t>:</w:t>
            </w:r>
            <w:r w:rsidR="002732CB">
              <w:t xml:space="preserve"> </w:t>
            </w:r>
            <w:r w:rsidR="002B1357">
              <w:t xml:space="preserve">Draft </w:t>
            </w:r>
            <w:r w:rsidR="00777442">
              <w:t xml:space="preserve">Reply </w:t>
            </w:r>
            <w:r w:rsidR="002B1357">
              <w:t xml:space="preserve">Liaison Statement to WP4A </w:t>
            </w:r>
            <w:r w:rsidR="00777442">
              <w:t>on WRC-27 AI 1.16</w:t>
            </w:r>
          </w:p>
          <w:p w14:paraId="1154457E" w14:textId="77777777" w:rsidR="00A1575A" w:rsidRPr="00111E88" w:rsidRDefault="00A1575A" w:rsidP="00A1575A"/>
        </w:tc>
      </w:tr>
      <w:tr w:rsidR="00A1575A" w:rsidRPr="00111E88" w14:paraId="0D4CE2B0" w14:textId="77777777" w:rsidTr="00A3188B">
        <w:trPr>
          <w:cantSplit/>
          <w:trHeight w:val="259"/>
          <w:jc w:val="center"/>
        </w:trPr>
        <w:tc>
          <w:tcPr>
            <w:tcW w:w="393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674ACA1" w14:textId="77777777" w:rsidR="00A1575A" w:rsidRPr="00111E88" w:rsidRDefault="00A1575A" w:rsidP="00A1575A">
            <w:pPr>
              <w:spacing w:before="60" w:after="60"/>
              <w:rPr>
                <w:b/>
              </w:rPr>
            </w:pPr>
            <w:r w:rsidRPr="00111E88">
              <w:rPr>
                <w:b/>
              </w:rPr>
              <w:t>Authors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0F975E" w14:textId="0E39D136" w:rsidR="00A1575A" w:rsidRPr="00111E88" w:rsidRDefault="00A1575A" w:rsidP="00A1575A">
            <w:pPr>
              <w:spacing w:before="60" w:after="60"/>
              <w:rPr>
                <w:b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double" w:sz="6" w:space="0" w:color="000000"/>
            </w:tcBorders>
          </w:tcPr>
          <w:p w14:paraId="722EED27" w14:textId="77777777" w:rsidR="00A1575A" w:rsidRPr="00111E88" w:rsidRDefault="00A1575A" w:rsidP="00A1575A">
            <w:pPr>
              <w:spacing w:before="60" w:after="60"/>
              <w:rPr>
                <w:b/>
              </w:rPr>
            </w:pPr>
            <w:r w:rsidRPr="00111E88">
              <w:rPr>
                <w:b/>
              </w:rPr>
              <w:t>E-Mail</w:t>
            </w:r>
          </w:p>
        </w:tc>
      </w:tr>
      <w:tr w:rsidR="00A1575A" w:rsidRPr="009F3777" w14:paraId="703488D1" w14:textId="77777777" w:rsidTr="00A3188B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3520629" w14:textId="34E9540E" w:rsidR="00A3188B" w:rsidRPr="00111E88" w:rsidRDefault="00A3188B" w:rsidP="00A3188B">
            <w:pPr>
              <w:ind w:right="144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31ECD" w14:textId="1CF73AEA" w:rsidR="00A1575A" w:rsidRPr="0064261D" w:rsidRDefault="00A1575A" w:rsidP="00A3188B">
            <w:pPr>
              <w:pStyle w:val="Header"/>
              <w:spacing w:before="60" w:after="60"/>
              <w:jc w:val="left"/>
              <w:rPr>
                <w:rFonts w:ascii="Times" w:hAnsi="Times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4815207" w14:textId="204BF4B3" w:rsidR="00A1575A" w:rsidRPr="009F3777" w:rsidRDefault="00A1575A" w:rsidP="00A3188B">
            <w:pPr>
              <w:spacing w:before="60" w:after="60"/>
              <w:rPr>
                <w:szCs w:val="24"/>
                <w:lang w:val="en-US"/>
              </w:rPr>
            </w:pPr>
          </w:p>
        </w:tc>
      </w:tr>
      <w:tr w:rsidR="00A1575A" w:rsidRPr="00111E88" w14:paraId="0C605DA9" w14:textId="77777777" w:rsidTr="00A3188B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A71B58F" w14:textId="6331CB68" w:rsidR="00A1575A" w:rsidRPr="002732CB" w:rsidRDefault="003225D5" w:rsidP="00A1575A">
            <w:pPr>
              <w:pStyle w:val="FootnoteTex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Hastyar Barvar</w:t>
            </w:r>
            <w:r w:rsidR="002732CB" w:rsidRPr="002732C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Amazon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EFDB2" w14:textId="5B1BB458" w:rsidR="00A1575A" w:rsidRPr="002732CB" w:rsidRDefault="00A1575A" w:rsidP="00A3188B">
            <w:pPr>
              <w:pStyle w:val="Header"/>
              <w:spacing w:before="60" w:after="60"/>
              <w:jc w:val="left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C679232" w14:textId="05A51B6F" w:rsidR="00A1575A" w:rsidRPr="002732CB" w:rsidRDefault="00285955" w:rsidP="00A3188B">
            <w:pPr>
              <w:spacing w:before="60" w:after="60" w:line="480" w:lineRule="auto"/>
              <w:rPr>
                <w:sz w:val="22"/>
                <w:szCs w:val="22"/>
              </w:rPr>
            </w:pPr>
            <w:hyperlink r:id="rId12" w:history="1">
              <w:r w:rsidR="003225D5" w:rsidRPr="00206B94">
                <w:rPr>
                  <w:rStyle w:val="Hyperlink"/>
                  <w:sz w:val="22"/>
                  <w:szCs w:val="22"/>
                </w:rPr>
                <w:t>hbarvar@amazon.com</w:t>
              </w:r>
            </w:hyperlink>
          </w:p>
        </w:tc>
      </w:tr>
      <w:tr w:rsidR="00A1575A" w:rsidRPr="00111E88" w14:paraId="5AA1ED1C" w14:textId="77777777" w:rsidTr="00A3188B">
        <w:trPr>
          <w:cantSplit/>
          <w:trHeight w:val="80"/>
          <w:jc w:val="center"/>
        </w:trPr>
        <w:tc>
          <w:tcPr>
            <w:tcW w:w="393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7D42DB6B" w14:textId="09DD6A0B" w:rsidR="002732CB" w:rsidRPr="002732CB" w:rsidRDefault="003225D5" w:rsidP="002732CB">
            <w:pPr>
              <w:ind w:righ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 Epshteyn</w:t>
            </w:r>
            <w:r w:rsidR="002732CB" w:rsidRPr="002732C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Amazon</w:t>
            </w:r>
          </w:p>
          <w:p w14:paraId="08E8906F" w14:textId="65537801" w:rsidR="002732CB" w:rsidRPr="002732CB" w:rsidRDefault="002732CB" w:rsidP="002732CB">
            <w:pPr>
              <w:ind w:right="144"/>
              <w:rPr>
                <w:sz w:val="22"/>
                <w:szCs w:val="22"/>
              </w:rPr>
            </w:pPr>
            <w:r w:rsidRPr="002732CB">
              <w:rPr>
                <w:sz w:val="22"/>
                <w:szCs w:val="22"/>
              </w:rPr>
              <w:tab/>
            </w:r>
            <w:r w:rsidRPr="002732CB">
              <w:rPr>
                <w:sz w:val="22"/>
                <w:szCs w:val="22"/>
              </w:rPr>
              <w:tab/>
            </w:r>
          </w:p>
          <w:p w14:paraId="67F5D989" w14:textId="6CD1D4FE" w:rsidR="00A3188B" w:rsidRPr="002732CB" w:rsidRDefault="00FC3B1A" w:rsidP="00A3188B">
            <w:pPr>
              <w:ind w:righ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Hofer, Amazon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73F00" w14:textId="50E288DB" w:rsidR="00A1575A" w:rsidRPr="002732CB" w:rsidRDefault="00A1575A" w:rsidP="00A1575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" w:hAnsi="Times"/>
                <w:sz w:val="22"/>
                <w:szCs w:val="22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F88B3AD" w14:textId="5792D46F" w:rsidR="00A1575A" w:rsidRDefault="00285955" w:rsidP="00A1575A">
            <w:pPr>
              <w:spacing w:before="60" w:after="60"/>
              <w:rPr>
                <w:sz w:val="22"/>
                <w:szCs w:val="22"/>
              </w:rPr>
            </w:pPr>
            <w:hyperlink r:id="rId13" w:history="1">
              <w:r w:rsidR="003225D5" w:rsidRPr="00206B94">
                <w:rPr>
                  <w:rStyle w:val="Hyperlink"/>
                  <w:sz w:val="22"/>
                  <w:szCs w:val="22"/>
                </w:rPr>
                <w:t>epshtey@amazon.com</w:t>
              </w:r>
            </w:hyperlink>
          </w:p>
          <w:p w14:paraId="509BB553" w14:textId="77777777" w:rsidR="003225D5" w:rsidRDefault="003225D5" w:rsidP="00A1575A">
            <w:pPr>
              <w:spacing w:before="60" w:after="60"/>
              <w:rPr>
                <w:sz w:val="22"/>
                <w:szCs w:val="22"/>
              </w:rPr>
            </w:pPr>
          </w:p>
          <w:p w14:paraId="13501C05" w14:textId="40C1EAC8" w:rsidR="00FC3B1A" w:rsidRDefault="00285955" w:rsidP="00A1575A">
            <w:pPr>
              <w:spacing w:before="60" w:after="60"/>
              <w:rPr>
                <w:sz w:val="22"/>
                <w:szCs w:val="22"/>
              </w:rPr>
            </w:pPr>
            <w:hyperlink r:id="rId14" w:history="1">
              <w:r w:rsidR="00FC3B1A" w:rsidRPr="00C1675D">
                <w:rPr>
                  <w:rStyle w:val="Hyperlink"/>
                  <w:sz w:val="22"/>
                  <w:szCs w:val="22"/>
                </w:rPr>
                <w:t>chofer@amazon.com</w:t>
              </w:r>
            </w:hyperlink>
          </w:p>
          <w:p w14:paraId="7428C1DB" w14:textId="5ED45866" w:rsidR="00FC3B1A" w:rsidRPr="002732CB" w:rsidRDefault="00FC3B1A" w:rsidP="00A1575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1575A" w:rsidRPr="00111E88" w14:paraId="38F27EFC" w14:textId="77777777" w:rsidTr="00A3188B">
        <w:trPr>
          <w:jc w:val="center"/>
        </w:trPr>
        <w:tc>
          <w:tcPr>
            <w:tcW w:w="9151" w:type="dxa"/>
            <w:gridSpan w:val="4"/>
            <w:tcBorders>
              <w:top w:val="single" w:sz="4" w:space="0" w:color="auto"/>
              <w:bottom w:val="single" w:sz="6" w:space="0" w:color="000000"/>
              <w:right w:val="double" w:sz="6" w:space="0" w:color="000000"/>
            </w:tcBorders>
          </w:tcPr>
          <w:p w14:paraId="7A4DC331" w14:textId="6A2CCC42" w:rsidR="00A1575A" w:rsidRDefault="00A1575A" w:rsidP="00A60DDF">
            <w:pPr>
              <w:spacing w:before="60" w:after="60"/>
              <w:jc w:val="both"/>
            </w:pPr>
            <w:r w:rsidRPr="00111E88">
              <w:rPr>
                <w:b/>
              </w:rPr>
              <w:t>Purpose/Objective</w:t>
            </w:r>
            <w:r w:rsidRPr="00111E88">
              <w:t xml:space="preserve">:  </w:t>
            </w:r>
            <w:r w:rsidR="002732CB">
              <w:t xml:space="preserve">This document </w:t>
            </w:r>
            <w:r w:rsidR="002B1357">
              <w:t xml:space="preserve">proposes a draft </w:t>
            </w:r>
            <w:r w:rsidR="00777442">
              <w:t xml:space="preserve">reply </w:t>
            </w:r>
            <w:r w:rsidR="002B1357">
              <w:t>liaison statement to WP4A</w:t>
            </w:r>
            <w:r w:rsidR="00777442">
              <w:t xml:space="preserve"> on AI 1.16</w:t>
            </w:r>
            <w:r w:rsidR="002B1357">
              <w:t xml:space="preserve"> in response to document </w:t>
            </w:r>
            <w:hyperlink r:id="rId15" w:history="1">
              <w:r w:rsidR="002B1357" w:rsidRPr="002B1357">
                <w:rPr>
                  <w:rStyle w:val="Hyperlink"/>
                </w:rPr>
                <w:t>7D/58</w:t>
              </w:r>
            </w:hyperlink>
          </w:p>
          <w:p w14:paraId="324FC2D7" w14:textId="0668B754" w:rsidR="00A3188B" w:rsidRPr="00111E88" w:rsidRDefault="00A3188B" w:rsidP="00A60DDF">
            <w:pPr>
              <w:spacing w:before="60" w:after="60"/>
              <w:jc w:val="both"/>
            </w:pPr>
          </w:p>
        </w:tc>
      </w:tr>
      <w:tr w:rsidR="00A1575A" w:rsidRPr="00111E88" w14:paraId="6135626E" w14:textId="77777777" w:rsidTr="00A3188B">
        <w:trPr>
          <w:jc w:val="center"/>
        </w:trPr>
        <w:tc>
          <w:tcPr>
            <w:tcW w:w="9151" w:type="dxa"/>
            <w:gridSpan w:val="4"/>
            <w:tcBorders>
              <w:top w:val="single" w:sz="6" w:space="0" w:color="000000"/>
              <w:right w:val="double" w:sz="6" w:space="0" w:color="000000"/>
            </w:tcBorders>
          </w:tcPr>
          <w:p w14:paraId="3852E87F" w14:textId="2EED670B" w:rsidR="00F02EB1" w:rsidRDefault="00A1575A" w:rsidP="00F02EB1">
            <w:pPr>
              <w:spacing w:before="0" w:line="276" w:lineRule="auto"/>
            </w:pPr>
            <w:r w:rsidRPr="00111E88">
              <w:rPr>
                <w:b/>
              </w:rPr>
              <w:t>Abstract</w:t>
            </w:r>
            <w:r w:rsidRPr="00111E88">
              <w:t xml:space="preserve">:  </w:t>
            </w:r>
          </w:p>
          <w:p w14:paraId="49FE4AF6" w14:textId="62BFB1E8" w:rsidR="00A1575A" w:rsidRPr="00111E88" w:rsidRDefault="00777442" w:rsidP="00A1575A">
            <w:pPr>
              <w:spacing w:before="60" w:after="60"/>
            </w:pPr>
            <w:r>
              <w:t>This document proposes a response to the liaison statement of WP 4A on WRC-27 AI 1.16.</w:t>
            </w:r>
          </w:p>
          <w:p w14:paraId="3B8E88CC" w14:textId="77777777" w:rsidR="00A1575A" w:rsidRPr="00111E88" w:rsidRDefault="00A1575A" w:rsidP="00A1575A">
            <w:pPr>
              <w:pStyle w:val="BodyText"/>
              <w:rPr>
                <w:rFonts w:ascii="Times New Roman" w:hAnsi="Times New Roman"/>
                <w:sz w:val="22"/>
              </w:rPr>
            </w:pPr>
          </w:p>
          <w:p w14:paraId="6622D43F" w14:textId="77777777" w:rsidR="00A1575A" w:rsidRPr="00111E88" w:rsidRDefault="00A1575A" w:rsidP="00A1575A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  <w:tr w:rsidR="00A1575A" w:rsidRPr="00111E88" w14:paraId="2CEB7829" w14:textId="77777777" w:rsidTr="00A1575A">
        <w:trPr>
          <w:jc w:val="center"/>
        </w:trPr>
        <w:tc>
          <w:tcPr>
            <w:tcW w:w="9151" w:type="dxa"/>
            <w:gridSpan w:val="4"/>
            <w:tcBorders>
              <w:bottom w:val="double" w:sz="6" w:space="0" w:color="000000"/>
              <w:right w:val="double" w:sz="6" w:space="0" w:color="000000"/>
            </w:tcBorders>
          </w:tcPr>
          <w:p w14:paraId="580E053A" w14:textId="11C072B9" w:rsidR="00A1575A" w:rsidRPr="00111E88" w:rsidRDefault="00A1575A" w:rsidP="00A1575A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111E88">
              <w:rPr>
                <w:b/>
              </w:rPr>
              <w:t>Fact Sheet Preparer:</w:t>
            </w:r>
            <w:r w:rsidRPr="00111E88">
              <w:t xml:space="preserve"> </w:t>
            </w:r>
            <w:r w:rsidRPr="00111E88">
              <w:tab/>
            </w:r>
            <w:r w:rsidR="003225D5">
              <w:t>Hastyar Barvar</w:t>
            </w:r>
          </w:p>
        </w:tc>
      </w:tr>
    </w:tbl>
    <w:p w14:paraId="3A01FF64" w14:textId="77777777" w:rsidR="00A1575A" w:rsidRPr="00A1575A" w:rsidRDefault="00A1575A">
      <w:pPr>
        <w:rPr>
          <w:b/>
        </w:rPr>
      </w:pPr>
    </w:p>
    <w:p w14:paraId="43290864" w14:textId="3D7E7EEC" w:rsidR="003A444B" w:rsidRDefault="003A444B" w:rsidP="00A1575A">
      <w:pPr>
        <w:pStyle w:val="EditorsNote"/>
        <w:spacing w:before="360"/>
        <w:rPr>
          <w:color w:val="000000" w:themeColor="text1"/>
          <w:shd w:val="clear" w:color="auto" w:fill="FFFF00"/>
        </w:rPr>
      </w:pPr>
      <w:bookmarkStart w:id="0" w:name="dbreak"/>
      <w:bookmarkEnd w:id="0"/>
    </w:p>
    <w:p w14:paraId="38D80178" w14:textId="5FA64E77" w:rsidR="00A1575A" w:rsidRDefault="00A1575A" w:rsidP="00A1575A">
      <w:pPr>
        <w:pStyle w:val="EditorsNote"/>
        <w:spacing w:before="360"/>
        <w:rPr>
          <w:color w:val="000000" w:themeColor="text1"/>
          <w:shd w:val="clear" w:color="auto" w:fill="FFFF00"/>
        </w:rPr>
      </w:pPr>
    </w:p>
    <w:p w14:paraId="0A1D18DB" w14:textId="29E7C45A" w:rsidR="00A1575A" w:rsidRDefault="00A1575A" w:rsidP="00A1575A">
      <w:pPr>
        <w:pStyle w:val="EditorsNote"/>
        <w:spacing w:before="360"/>
        <w:rPr>
          <w:color w:val="000000" w:themeColor="text1"/>
          <w:shd w:val="clear" w:color="auto" w:fill="FFFF00"/>
        </w:rPr>
      </w:pPr>
    </w:p>
    <w:p w14:paraId="3B6489DC" w14:textId="7DF93594" w:rsidR="00CD6E19" w:rsidRDefault="00CD6E1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iCs/>
          <w:color w:val="000000" w:themeColor="text1"/>
          <w:shd w:val="clear" w:color="auto" w:fill="FFFF00"/>
        </w:rPr>
      </w:pPr>
      <w:r>
        <w:rPr>
          <w:color w:val="000000" w:themeColor="text1"/>
          <w:shd w:val="clear" w:color="auto" w:fill="FFFF00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CD6E19" w:rsidRPr="00207543" w14:paraId="48C72BE9" w14:textId="77777777" w:rsidTr="003F05AA">
        <w:trPr>
          <w:cantSplit/>
        </w:trPr>
        <w:tc>
          <w:tcPr>
            <w:tcW w:w="6487" w:type="dxa"/>
            <w:vAlign w:val="center"/>
          </w:tcPr>
          <w:p w14:paraId="4A64647E" w14:textId="77777777" w:rsidR="00D81604" w:rsidRDefault="00D81604" w:rsidP="003F05AA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</w:p>
          <w:p w14:paraId="20F9E041" w14:textId="728744B9" w:rsidR="00CD6E19" w:rsidRPr="00207543" w:rsidRDefault="00CD6E19" w:rsidP="003F05AA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207543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2D1CE698" w14:textId="77777777" w:rsidR="00CD6E19" w:rsidRPr="00207543" w:rsidRDefault="00CD6E19" w:rsidP="003F05AA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 w:rsidRPr="00817E95">
              <w:rPr>
                <w:noProof/>
                <w:lang w:val="en-US"/>
              </w:rPr>
              <w:drawing>
                <wp:inline distT="0" distB="0" distL="0" distR="0" wp14:anchorId="0580CBBC" wp14:editId="3FE95681">
                  <wp:extent cx="758825" cy="758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E19" w:rsidRPr="00207543" w14:paraId="51ACB660" w14:textId="77777777" w:rsidTr="003F05A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BEC698E" w14:textId="77777777" w:rsidR="00CD6E19" w:rsidRPr="00207543" w:rsidRDefault="00CD6E19" w:rsidP="003F05A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79A333E" w14:textId="77777777" w:rsidR="00CD6E19" w:rsidRPr="00207543" w:rsidRDefault="00CD6E19" w:rsidP="003F05AA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CD6E19" w:rsidRPr="00207543" w14:paraId="52E64A39" w14:textId="77777777" w:rsidTr="003F05A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9DD6D72" w14:textId="77777777" w:rsidR="00CD6E19" w:rsidRPr="00207543" w:rsidRDefault="00CD6E19" w:rsidP="003F05A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EBC8FD1" w14:textId="77777777" w:rsidR="00CD6E19" w:rsidRPr="00207543" w:rsidRDefault="00CD6E19" w:rsidP="003F05AA">
            <w:pPr>
              <w:shd w:val="solid" w:color="FFFFFF" w:fill="FFFFFF"/>
              <w:spacing w:before="0" w:after="48" w:line="240" w:lineRule="atLeast"/>
            </w:pPr>
          </w:p>
        </w:tc>
      </w:tr>
      <w:tr w:rsidR="00CD6E19" w:rsidRPr="00207543" w14:paraId="7ACF4FC4" w14:textId="77777777" w:rsidTr="003F05AA">
        <w:trPr>
          <w:cantSplit/>
        </w:trPr>
        <w:tc>
          <w:tcPr>
            <w:tcW w:w="6487" w:type="dxa"/>
            <w:vMerge w:val="restart"/>
          </w:tcPr>
          <w:p w14:paraId="67BA4BF0" w14:textId="7C220E44" w:rsidR="00CD6E19" w:rsidRDefault="00CD6E19" w:rsidP="003F05AA">
            <w:pPr>
              <w:spacing w:before="0"/>
              <w:rPr>
                <w:lang w:val="fr-FR"/>
              </w:rPr>
            </w:pPr>
            <w:bookmarkStart w:id="2" w:name="dnum" w:colFirst="1" w:colLast="1"/>
            <w:r w:rsidRPr="00207543">
              <w:rPr>
                <w:rFonts w:ascii="Verdana" w:hAnsi="Verdana"/>
                <w:sz w:val="20"/>
              </w:rPr>
              <w:t>Source:</w:t>
            </w:r>
            <w:r w:rsidRPr="00207543">
              <w:rPr>
                <w:rFonts w:ascii="Verdana" w:hAnsi="Verdana"/>
                <w:sz w:val="20"/>
              </w:rPr>
              <w:tab/>
            </w:r>
            <w:r>
              <w:rPr>
                <w:lang w:val="fr-FR"/>
              </w:rPr>
              <w:t xml:space="preserve"> -</w:t>
            </w:r>
          </w:p>
          <w:p w14:paraId="71003138" w14:textId="77777777" w:rsidR="00CD6E19" w:rsidRPr="00207543" w:rsidRDefault="00CD6E19" w:rsidP="003F05A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</w:p>
          <w:p w14:paraId="2F6D14ED" w14:textId="140641DC" w:rsidR="00CD6E19" w:rsidRDefault="00CD6E19" w:rsidP="003F05A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b/>
                <w:sz w:val="20"/>
              </w:rPr>
            </w:pPr>
            <w:r w:rsidRPr="00207543">
              <w:rPr>
                <w:rFonts w:ascii="Verdana" w:hAnsi="Verdana"/>
                <w:sz w:val="20"/>
              </w:rPr>
              <w:t>Subject:</w:t>
            </w:r>
            <w:r w:rsidRPr="00207543">
              <w:rPr>
                <w:rFonts w:ascii="Verdana" w:hAnsi="Verdana"/>
                <w:sz w:val="20"/>
              </w:rPr>
              <w:tab/>
            </w:r>
            <w:r>
              <w:t xml:space="preserve"> </w:t>
            </w:r>
            <w:r w:rsidRPr="00303D22">
              <w:rPr>
                <w:rFonts w:ascii="Verdana" w:hAnsi="Verdana"/>
                <w:sz w:val="20"/>
              </w:rPr>
              <w:t xml:space="preserve">Resolution </w:t>
            </w:r>
            <w:r>
              <w:rPr>
                <w:rFonts w:ascii="Verdana" w:hAnsi="Verdana"/>
                <w:sz w:val="20"/>
              </w:rPr>
              <w:t>681</w:t>
            </w:r>
            <w:r w:rsidRPr="00303D22">
              <w:rPr>
                <w:rFonts w:ascii="Verdana" w:hAnsi="Verdana"/>
                <w:sz w:val="20"/>
              </w:rPr>
              <w:t xml:space="preserve"> (WRC-23)</w:t>
            </w:r>
            <w:r w:rsidR="00726350">
              <w:rPr>
                <w:rFonts w:ascii="Verdana" w:hAnsi="Verdana"/>
                <w:sz w:val="20"/>
              </w:rPr>
              <w:t>, WRC-27 AI 1.16</w:t>
            </w:r>
          </w:p>
          <w:p w14:paraId="06C88B03" w14:textId="77777777" w:rsidR="00CD6E19" w:rsidRPr="00207543" w:rsidRDefault="00CD6E19" w:rsidP="003F05A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14:paraId="5689AD6F" w14:textId="77777777" w:rsidR="00CD6E19" w:rsidRPr="00207543" w:rsidRDefault="00CD6E19" w:rsidP="003F05A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F0670C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Document </w:t>
            </w:r>
            <w:r>
              <w:rPr>
                <w:rFonts w:ascii="Verdana" w:hAnsi="Verdana"/>
                <w:b/>
                <w:bCs/>
                <w:sz w:val="20"/>
                <w:lang w:eastAsia="zh-CN"/>
              </w:rPr>
              <w:t>XXX</w:t>
            </w:r>
          </w:p>
        </w:tc>
      </w:tr>
      <w:tr w:rsidR="00CD6E19" w:rsidRPr="00207543" w14:paraId="72EFE6A2" w14:textId="77777777" w:rsidTr="003F05AA">
        <w:trPr>
          <w:cantSplit/>
        </w:trPr>
        <w:tc>
          <w:tcPr>
            <w:tcW w:w="6487" w:type="dxa"/>
            <w:vMerge/>
          </w:tcPr>
          <w:p w14:paraId="7E34073D" w14:textId="77777777" w:rsidR="00CD6E19" w:rsidRPr="00207543" w:rsidRDefault="00CD6E19" w:rsidP="003F05AA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2D06A4E0" w14:textId="77777777" w:rsidR="00CD6E19" w:rsidRPr="00207543" w:rsidRDefault="00CD6E19" w:rsidP="003F05A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Date</w:t>
            </w:r>
          </w:p>
        </w:tc>
      </w:tr>
      <w:tr w:rsidR="00CD6E19" w:rsidRPr="00207543" w14:paraId="48D42CFC" w14:textId="77777777" w:rsidTr="003F05AA">
        <w:trPr>
          <w:cantSplit/>
        </w:trPr>
        <w:tc>
          <w:tcPr>
            <w:tcW w:w="6487" w:type="dxa"/>
            <w:vMerge/>
          </w:tcPr>
          <w:p w14:paraId="786FDD11" w14:textId="77777777" w:rsidR="00CD6E19" w:rsidRPr="00207543" w:rsidRDefault="00CD6E19" w:rsidP="003F05AA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7680DE11" w14:textId="77777777" w:rsidR="00CD6E19" w:rsidRPr="00207543" w:rsidRDefault="00CD6E19" w:rsidP="003F05AA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207543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</w:tbl>
    <w:bookmarkEnd w:id="4"/>
    <w:p w14:paraId="0ECE8E4D" w14:textId="06EF9F4F" w:rsidR="00CD6E19" w:rsidRDefault="00CD6E19" w:rsidP="00CD6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United States of America</w:t>
      </w:r>
    </w:p>
    <w:p w14:paraId="31BF3B7E" w14:textId="3F37C388" w:rsidR="00CD6E19" w:rsidRPr="00CD6E19" w:rsidRDefault="00CD6E19" w:rsidP="00CD6E19">
      <w:pPr>
        <w:jc w:val="center"/>
        <w:rPr>
          <w:bCs/>
          <w:sz w:val="28"/>
          <w:szCs w:val="28"/>
        </w:rPr>
      </w:pPr>
      <w:r w:rsidRPr="00CD6E19">
        <w:rPr>
          <w:bCs/>
          <w:sz w:val="28"/>
          <w:szCs w:val="28"/>
        </w:rPr>
        <w:t>REPLY LIAISON STATEMENT TO WORKING PARTY 4A</w:t>
      </w:r>
    </w:p>
    <w:p w14:paraId="2535CFC7" w14:textId="7B639C5D" w:rsidR="00CD6E19" w:rsidRPr="007F3C80" w:rsidRDefault="00CD6E19" w:rsidP="00CD6E19">
      <w:pPr>
        <w:jc w:val="center"/>
        <w:rPr>
          <w:b/>
          <w:sz w:val="28"/>
          <w:szCs w:val="28"/>
        </w:rPr>
      </w:pPr>
      <w:r w:rsidRPr="00CD6E19">
        <w:rPr>
          <w:b/>
          <w:sz w:val="28"/>
          <w:szCs w:val="28"/>
        </w:rPr>
        <w:t>Relevant technical information to support studies under WRC-27 agenda item 1.16 documenting FSS characteristics</w:t>
      </w:r>
      <w:r>
        <w:rPr>
          <w:b/>
          <w:sz w:val="28"/>
          <w:szCs w:val="28"/>
        </w:rPr>
        <w:t xml:space="preserve"> </w:t>
      </w:r>
      <w:r w:rsidRPr="00CD6E19">
        <w:rPr>
          <w:b/>
          <w:sz w:val="28"/>
          <w:szCs w:val="28"/>
        </w:rPr>
        <w:t>in some frequency bands</w:t>
      </w:r>
      <w:r w:rsidRPr="00303D22">
        <w:rPr>
          <w:b/>
          <w:sz w:val="28"/>
          <w:szCs w:val="28"/>
        </w:rPr>
        <w:t xml:space="preserve"> </w:t>
      </w:r>
    </w:p>
    <w:p w14:paraId="1C70DACA" w14:textId="77777777" w:rsidR="00CD6E19" w:rsidRPr="00D817CE" w:rsidRDefault="00CD6E19" w:rsidP="00CD6E19">
      <w:pPr>
        <w:pStyle w:val="Heading1"/>
      </w:pPr>
      <w:r w:rsidRPr="00D817CE">
        <w:t>Introduction</w:t>
      </w:r>
    </w:p>
    <w:p w14:paraId="30863487" w14:textId="77777777" w:rsidR="00CD6E19" w:rsidRPr="00D817CE" w:rsidRDefault="00CD6E19" w:rsidP="00CD6E1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2799DAEA" w14:textId="371E1294" w:rsidR="00CD6E19" w:rsidRDefault="00CD6E19" w:rsidP="00CD6E19">
      <w:pPr>
        <w:jc w:val="both"/>
      </w:pPr>
      <w:r>
        <w:t>In response WP7D’s liaison statement</w:t>
      </w:r>
      <w:r w:rsidR="00777442">
        <w:t xml:space="preserve"> in Doc. 4A/22</w:t>
      </w:r>
      <w:r>
        <w:t>, WP4A submitted a reply liaison statement to WP7D,</w:t>
      </w:r>
      <w:r w:rsidR="00777442">
        <w:t xml:space="preserve"> Doc.</w:t>
      </w:r>
      <w:r>
        <w:t xml:space="preserve"> </w:t>
      </w:r>
      <w:hyperlink r:id="rId17" w:history="1">
        <w:r w:rsidRPr="002B1357">
          <w:rPr>
            <w:rStyle w:val="Hyperlink"/>
          </w:rPr>
          <w:t>7D/58</w:t>
        </w:r>
      </w:hyperlink>
      <w:r w:rsidRPr="00CD6E19">
        <w:rPr>
          <w:bCs/>
        </w:rPr>
        <w:t xml:space="preserve">, in which </w:t>
      </w:r>
      <w:r>
        <w:rPr>
          <w:bCs/>
        </w:rPr>
        <w:t>a number of points are included. Addressing these points could facilitate the correspondence between two working parties</w:t>
      </w:r>
      <w:r w:rsidR="00777442">
        <w:rPr>
          <w:bCs/>
        </w:rPr>
        <w:t xml:space="preserve"> in connection with WRC-27 AI 1.16</w:t>
      </w:r>
      <w:r>
        <w:rPr>
          <w:bCs/>
        </w:rPr>
        <w:t>. The United State</w:t>
      </w:r>
      <w:r w:rsidR="00777442">
        <w:rPr>
          <w:bCs/>
        </w:rPr>
        <w:t>s</w:t>
      </w:r>
      <w:r>
        <w:rPr>
          <w:bCs/>
        </w:rPr>
        <w:t xml:space="preserve"> proposes </w:t>
      </w:r>
      <w:r w:rsidR="00777442">
        <w:rPr>
          <w:bCs/>
        </w:rPr>
        <w:t xml:space="preserve">the attached </w:t>
      </w:r>
      <w:r>
        <w:rPr>
          <w:bCs/>
        </w:rPr>
        <w:t xml:space="preserve">draft </w:t>
      </w:r>
      <w:r w:rsidR="00777442">
        <w:rPr>
          <w:bCs/>
        </w:rPr>
        <w:t xml:space="preserve">reply </w:t>
      </w:r>
      <w:r>
        <w:rPr>
          <w:bCs/>
        </w:rPr>
        <w:t xml:space="preserve">liaison statement to address these points. </w:t>
      </w:r>
    </w:p>
    <w:p w14:paraId="546FFB81" w14:textId="77777777" w:rsidR="00CD6E19" w:rsidRDefault="00CD6E19" w:rsidP="00CD6E19"/>
    <w:p w14:paraId="67105C0D" w14:textId="77777777" w:rsidR="00CD6E19" w:rsidRDefault="00CD6E19" w:rsidP="00CD6E19"/>
    <w:p w14:paraId="79A856E8" w14:textId="77777777" w:rsidR="00CD6E19" w:rsidRPr="00A534AE" w:rsidRDefault="00CD6E19" w:rsidP="00CD6E19">
      <w:r w:rsidRPr="00A534AE">
        <w:rPr>
          <w:b/>
        </w:rPr>
        <w:t>Attachment:</w:t>
      </w:r>
      <w:r>
        <w:rPr>
          <w:bCs/>
        </w:rPr>
        <w:tab/>
        <w:t>1</w:t>
      </w:r>
    </w:p>
    <w:p w14:paraId="4A1AE99B" w14:textId="77777777" w:rsidR="00CD6E19" w:rsidRDefault="00CD6E19" w:rsidP="00CD6E1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val="en-US"/>
        </w:rPr>
      </w:pPr>
      <w:r>
        <w:rPr>
          <w:lang w:val="en-US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CD6E19" w14:paraId="62823690" w14:textId="77777777" w:rsidTr="003F05AA">
        <w:trPr>
          <w:cantSplit/>
        </w:trPr>
        <w:tc>
          <w:tcPr>
            <w:tcW w:w="9889" w:type="dxa"/>
          </w:tcPr>
          <w:p w14:paraId="6A588F66" w14:textId="1F403F34" w:rsidR="00CD6E19" w:rsidRDefault="00CD6E19" w:rsidP="003F05AA">
            <w:pPr>
              <w:pStyle w:val="Source"/>
              <w:rPr>
                <w:lang w:eastAsia="zh-CN"/>
              </w:rPr>
            </w:pPr>
            <w:r>
              <w:lastRenderedPageBreak/>
              <w:t>Attachment</w:t>
            </w:r>
          </w:p>
        </w:tc>
      </w:tr>
      <w:tr w:rsidR="00CD6E19" w14:paraId="56E92701" w14:textId="77777777" w:rsidTr="003F05AA">
        <w:trPr>
          <w:cantSplit/>
        </w:trPr>
        <w:tc>
          <w:tcPr>
            <w:tcW w:w="9889" w:type="dxa"/>
          </w:tcPr>
          <w:p w14:paraId="38740B7A" w14:textId="6116212F" w:rsidR="00CD6E19" w:rsidRDefault="00777442" w:rsidP="003F05AA">
            <w:pPr>
              <w:pStyle w:val="Title1"/>
              <w:rPr>
                <w:lang w:eastAsia="zh-CN"/>
              </w:rPr>
            </w:pPr>
            <w:bookmarkStart w:id="5" w:name="_Hlk166596053"/>
            <w:r>
              <w:rPr>
                <w:caps w:val="0"/>
              </w:rPr>
              <w:t xml:space="preserve">DRAFT </w:t>
            </w:r>
            <w:r w:rsidR="00CD6E19" w:rsidRPr="0083662D">
              <w:rPr>
                <w:caps w:val="0"/>
              </w:rPr>
              <w:t>REPLY</w:t>
            </w:r>
            <w:r w:rsidR="00CD6E19" w:rsidRPr="0083662D">
              <w:rPr>
                <w:caps w:val="0"/>
                <w:lang w:eastAsia="zh-CN"/>
              </w:rPr>
              <w:t xml:space="preserve"> LIAISON STATEMENT TO WORKING PARTY </w:t>
            </w:r>
            <w:bookmarkEnd w:id="5"/>
            <w:r w:rsidR="00CD6E19">
              <w:rPr>
                <w:caps w:val="0"/>
                <w:lang w:eastAsia="zh-CN"/>
              </w:rPr>
              <w:t>4A</w:t>
            </w:r>
          </w:p>
        </w:tc>
      </w:tr>
      <w:tr w:rsidR="00CD6E19" w14:paraId="54661E89" w14:textId="77777777" w:rsidTr="003F05AA">
        <w:trPr>
          <w:cantSplit/>
        </w:trPr>
        <w:tc>
          <w:tcPr>
            <w:tcW w:w="9889" w:type="dxa"/>
          </w:tcPr>
          <w:p w14:paraId="498A297B" w14:textId="77777777" w:rsidR="00CD6E19" w:rsidRDefault="00CD6E19" w:rsidP="003F05AA">
            <w:pPr>
              <w:pStyle w:val="Title4"/>
              <w:rPr>
                <w:lang w:eastAsia="zh-CN"/>
              </w:rPr>
            </w:pPr>
            <w:bookmarkStart w:id="6" w:name="_Hlk166596058"/>
            <w:r w:rsidRPr="0083662D">
              <w:t xml:space="preserve">Relevant technical information to support studies under </w:t>
            </w:r>
            <w:r>
              <w:br/>
            </w:r>
            <w:r w:rsidRPr="0083662D">
              <w:t xml:space="preserve">WRC-27 agenda item 1.16 documenting FSS characteristics </w:t>
            </w:r>
            <w:r>
              <w:br/>
            </w:r>
            <w:r w:rsidRPr="0083662D">
              <w:t>in some frequency bands</w:t>
            </w:r>
            <w:bookmarkEnd w:id="6"/>
          </w:p>
        </w:tc>
      </w:tr>
    </w:tbl>
    <w:p w14:paraId="676AE15B" w14:textId="77777777" w:rsidR="00CD6E19" w:rsidRDefault="00CD6E19" w:rsidP="00CD6E19">
      <w:pPr>
        <w:pStyle w:val="Normalaftertitle"/>
        <w:jc w:val="both"/>
      </w:pPr>
    </w:p>
    <w:p w14:paraId="42D901AC" w14:textId="13014B25" w:rsidR="00CD6E19" w:rsidRDefault="00CD6E19" w:rsidP="00D636EF">
      <w:pPr>
        <w:pStyle w:val="Normalaftertitle"/>
        <w:jc w:val="both"/>
      </w:pPr>
      <w:r w:rsidRPr="0083662D">
        <w:t xml:space="preserve">WP </w:t>
      </w:r>
      <w:r>
        <w:t>7D</w:t>
      </w:r>
      <w:r w:rsidRPr="0083662D">
        <w:t xml:space="preserve"> thank</w:t>
      </w:r>
      <w:r w:rsidR="00777442">
        <w:t>s</w:t>
      </w:r>
      <w:r w:rsidRPr="0083662D">
        <w:t xml:space="preserve"> WP </w:t>
      </w:r>
      <w:r>
        <w:t>4A</w:t>
      </w:r>
      <w:r w:rsidRPr="0083662D">
        <w:t xml:space="preserve"> for its liaison statement </w:t>
      </w:r>
      <w:r w:rsidR="00777442">
        <w:t xml:space="preserve">in Document </w:t>
      </w:r>
      <w:r>
        <w:t xml:space="preserve">7D/58 </w:t>
      </w:r>
      <w:r w:rsidRPr="0083662D">
        <w:t>and bring</w:t>
      </w:r>
      <w:r>
        <w:t>ing</w:t>
      </w:r>
      <w:r w:rsidRPr="0083662D">
        <w:t xml:space="preserve"> to the attention of WP 7D </w:t>
      </w:r>
      <w:r>
        <w:t>that WP</w:t>
      </w:r>
      <w:r w:rsidR="00777442">
        <w:t xml:space="preserve"> </w:t>
      </w:r>
      <w:r>
        <w:t xml:space="preserve">4A is gathering </w:t>
      </w:r>
      <w:r w:rsidRPr="0083662D">
        <w:rPr>
          <w:lang w:eastAsia="zh-CN"/>
        </w:rPr>
        <w:t xml:space="preserve">characteristics of representative non-GSO systems that could be operated under a FSS allocation in the space-to-Earth direction in frequency bands adjacent to the ones allocated to RAS service as listed in Table 1 of </w:t>
      </w:r>
      <w:r w:rsidRPr="0083662D">
        <w:t xml:space="preserve">Resolution </w:t>
      </w:r>
      <w:r w:rsidRPr="0083662D">
        <w:rPr>
          <w:b/>
        </w:rPr>
        <w:t>681 (WRC</w:t>
      </w:r>
      <w:r>
        <w:rPr>
          <w:b/>
        </w:rPr>
        <w:noBreakHyphen/>
      </w:r>
      <w:r w:rsidRPr="0083662D">
        <w:rPr>
          <w:b/>
        </w:rPr>
        <w:t>23)</w:t>
      </w:r>
      <w:r w:rsidRPr="0083662D">
        <w:t>.</w:t>
      </w:r>
      <w:r w:rsidRPr="008D560E">
        <w:t xml:space="preserve"> </w:t>
      </w:r>
    </w:p>
    <w:p w14:paraId="6F9AD049" w14:textId="412875B4" w:rsidR="00777442" w:rsidRDefault="00CD6E19" w:rsidP="00CD6E19">
      <w:r>
        <w:t xml:space="preserve">With respect to the points raised regarding </w:t>
      </w:r>
      <w:r w:rsidRPr="009E6687">
        <w:rPr>
          <w:i/>
        </w:rPr>
        <w:t xml:space="preserve">resolves </w:t>
      </w:r>
      <w:r w:rsidRPr="009E6687">
        <w:t>3 to 6 of Resolution</w:t>
      </w:r>
      <w:r w:rsidRPr="009E6687">
        <w:rPr>
          <w:i/>
        </w:rPr>
        <w:t xml:space="preserve"> </w:t>
      </w:r>
      <w:r w:rsidRPr="009E6687">
        <w:rPr>
          <w:b/>
        </w:rPr>
        <w:t>681 (WRC-23)</w:t>
      </w:r>
      <w:r>
        <w:t>, WP</w:t>
      </w:r>
      <w:r w:rsidR="00777442">
        <w:t xml:space="preserve"> </w:t>
      </w:r>
      <w:r>
        <w:t>7D has gathered the information requested for consideration by WP</w:t>
      </w:r>
      <w:r w:rsidR="00777442">
        <w:t xml:space="preserve"> </w:t>
      </w:r>
      <w:r>
        <w:t xml:space="preserve">4A </w:t>
      </w:r>
      <w:r w:rsidR="00777442">
        <w:t xml:space="preserve">– including the location of the RAS facilities mentioned in   </w:t>
      </w:r>
      <w:r w:rsidR="00151F47" w:rsidRPr="00151F47">
        <w:rPr>
          <w:i/>
          <w:iCs/>
        </w:rPr>
        <w:t>considering</w:t>
      </w:r>
      <w:r w:rsidR="00777442" w:rsidRPr="00151F47">
        <w:rPr>
          <w:i/>
          <w:iCs/>
        </w:rPr>
        <w:t xml:space="preserve"> k)</w:t>
      </w:r>
      <w:r w:rsidR="00777442">
        <w:t xml:space="preserve"> of the Resolution; the frequency bands where observations are taken at each facility; and the subset of those frequency bands where there are allocations for RAS in the Radio Regulations. </w:t>
      </w:r>
    </w:p>
    <w:p w14:paraId="1A21FED3" w14:textId="2294AC7D" w:rsidR="00CD6E19" w:rsidRDefault="00CD6E19" w:rsidP="00CD6E19">
      <w:r>
        <w:t>WP</w:t>
      </w:r>
      <w:r w:rsidR="00777442">
        <w:t xml:space="preserve"> </w:t>
      </w:r>
      <w:r>
        <w:t xml:space="preserve">7D is fully aware </w:t>
      </w:r>
      <w:r w:rsidR="00777442">
        <w:t xml:space="preserve">that not all the </w:t>
      </w:r>
      <w:r>
        <w:t xml:space="preserve">frequencies utilized by the radio astronomy services in </w:t>
      </w:r>
      <w:r w:rsidR="00777442">
        <w:t xml:space="preserve">the subject </w:t>
      </w:r>
      <w:r>
        <w:t>radio quiet zones are allocated to RAS on</w:t>
      </w:r>
      <w:r w:rsidR="005E1443">
        <w:t xml:space="preserve"> a</w:t>
      </w:r>
      <w:r>
        <w:t xml:space="preserve"> primary or even secondary basis. </w:t>
      </w:r>
      <w:r w:rsidR="007C1E46">
        <w:t>It is noted that in frequencies w</w:t>
      </w:r>
      <w:r w:rsidR="00EA1174">
        <w:t>h</w:t>
      </w:r>
      <w:r w:rsidR="007C1E46">
        <w:t xml:space="preserve">ere there is no radio astronomy allocation, the radio astronomy services operate under R.R. No 4.4 and cannot claim protection from other primary and secondary services. </w:t>
      </w:r>
      <w:r w:rsidR="00777442">
        <w:t xml:space="preserve">To expedite its studies, </w:t>
      </w:r>
      <w:r>
        <w:t>WP</w:t>
      </w:r>
      <w:r w:rsidR="00D636EF">
        <w:t xml:space="preserve"> </w:t>
      </w:r>
      <w:r>
        <w:t>7D requests WP</w:t>
      </w:r>
      <w:r w:rsidR="00D636EF">
        <w:t xml:space="preserve"> </w:t>
      </w:r>
      <w:r>
        <w:t xml:space="preserve">4A to provide, to the degree possible, operational characteristics of </w:t>
      </w:r>
      <w:r w:rsidR="00777442">
        <w:t xml:space="preserve">non-GSO FSS </w:t>
      </w:r>
      <w:r>
        <w:t xml:space="preserve">systems that </w:t>
      </w:r>
      <w:r w:rsidR="00777442">
        <w:t xml:space="preserve">operate or plan to operate </w:t>
      </w:r>
      <w:r>
        <w:t>within or adjacent to RAS primary bands</w:t>
      </w:r>
      <w:r w:rsidR="00777442">
        <w:t xml:space="preserve"> listed in the “</w:t>
      </w:r>
      <w:r w:rsidR="00850C5D" w:rsidRPr="00850C5D">
        <w:t>Non-GSO Operating frequency range</w:t>
      </w:r>
      <w:r w:rsidR="00777442">
        <w:t>” column</w:t>
      </w:r>
      <w:r>
        <w:t xml:space="preserve">. </w:t>
      </w:r>
    </w:p>
    <w:p w14:paraId="5B717BE1" w14:textId="0D281E77" w:rsidR="007571C9" w:rsidRDefault="007571C9" w:rsidP="00CD6E19">
      <w:r>
        <w:t>SKAO Location:</w:t>
      </w:r>
      <w:r w:rsidR="00670147">
        <w:t xml:space="preserve"> </w:t>
      </w:r>
      <w:r w:rsidR="00670147" w:rsidRPr="00670147">
        <w:rPr>
          <w:highlight w:val="yellow"/>
        </w:rPr>
        <w:t>TBD</w:t>
      </w:r>
    </w:p>
    <w:p w14:paraId="705DC632" w14:textId="3E270037" w:rsidR="007571C9" w:rsidRDefault="007571C9" w:rsidP="00CD6E19">
      <w:r>
        <w:t>ALMA Location:</w:t>
      </w:r>
      <w:r w:rsidR="00670147">
        <w:t xml:space="preserve"> </w:t>
      </w:r>
      <w:r w:rsidR="00670147" w:rsidRPr="00670147">
        <w:rPr>
          <w:highlight w:val="yellow"/>
        </w:rPr>
        <w:t>TBD</w:t>
      </w:r>
    </w:p>
    <w:p w14:paraId="650DC5EF" w14:textId="77777777" w:rsidR="005E1443" w:rsidRDefault="005E1443" w:rsidP="005E1443">
      <w:pPr>
        <w:pStyle w:val="TableNo"/>
        <w:rPr>
          <w:lang w:eastAsia="zh-CN"/>
        </w:rPr>
      </w:pPr>
      <w:r>
        <w:rPr>
          <w:lang w:eastAsia="zh-CN"/>
        </w:rPr>
        <w:t>Table 1</w:t>
      </w:r>
    </w:p>
    <w:p w14:paraId="5C6F5A4F" w14:textId="3F91CF5D" w:rsidR="005E1443" w:rsidRPr="00F26C03" w:rsidRDefault="005E1443" w:rsidP="005E1443">
      <w:pPr>
        <w:pStyle w:val="Tabletitle"/>
        <w:rPr>
          <w:lang w:eastAsia="zh-CN"/>
        </w:rPr>
      </w:pPr>
      <w:r>
        <w:rPr>
          <w:lang w:eastAsia="zh-CN"/>
        </w:rPr>
        <w:t>Non-GSO systems, under the responsibility of WP 4A, adjacent to RAS primary bands utilized by the SKAO in the RQZ of South Africa</w:t>
      </w:r>
    </w:p>
    <w:p w14:paraId="70120BA4" w14:textId="77777777" w:rsidR="005E1443" w:rsidRDefault="005E1443" w:rsidP="00CD6E19"/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2482"/>
        <w:gridCol w:w="2527"/>
        <w:gridCol w:w="2520"/>
      </w:tblGrid>
      <w:tr w:rsidR="002D546E" w14:paraId="00EF1564" w14:textId="64BDA14B" w:rsidTr="002D546E">
        <w:trPr>
          <w:cantSplit/>
          <w:jc w:val="center"/>
        </w:trPr>
        <w:tc>
          <w:tcPr>
            <w:tcW w:w="2092" w:type="dxa"/>
          </w:tcPr>
          <w:p w14:paraId="3EDBD6EE" w14:textId="333B7CF9" w:rsidR="002D546E" w:rsidRDefault="002D546E" w:rsidP="002D546E">
            <w:pPr>
              <w:pStyle w:val="Tablehead"/>
            </w:pPr>
            <w:r>
              <w:t>SKAO Observation Frequency Ranges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2482" w:type="dxa"/>
          </w:tcPr>
          <w:p w14:paraId="4B562CB9" w14:textId="6CDE7D9A" w:rsidR="002D546E" w:rsidRDefault="002D546E" w:rsidP="002D546E">
            <w:pPr>
              <w:pStyle w:val="Tablehead"/>
            </w:pPr>
            <w:r>
              <w:t>RAS bands</w:t>
            </w:r>
          </w:p>
        </w:tc>
        <w:tc>
          <w:tcPr>
            <w:tcW w:w="2527" w:type="dxa"/>
          </w:tcPr>
          <w:p w14:paraId="12D14274" w14:textId="533A7965" w:rsidR="002D546E" w:rsidRDefault="002D546E" w:rsidP="002D546E">
            <w:pPr>
              <w:pStyle w:val="Tablehead"/>
            </w:pPr>
            <w:r>
              <w:t>Non-GSO service</w:t>
            </w:r>
          </w:p>
        </w:tc>
        <w:tc>
          <w:tcPr>
            <w:tcW w:w="2520" w:type="dxa"/>
          </w:tcPr>
          <w:p w14:paraId="2104F58E" w14:textId="23761645" w:rsidR="002D546E" w:rsidRDefault="002D546E" w:rsidP="002D546E">
            <w:pPr>
              <w:pStyle w:val="Tablehead"/>
            </w:pPr>
            <w:r>
              <w:t>Non-GSO Operating frequency range</w:t>
            </w:r>
          </w:p>
        </w:tc>
      </w:tr>
      <w:tr w:rsidR="002D546E" w14:paraId="745E63AF" w14:textId="3F1D349A" w:rsidTr="002D546E">
        <w:trPr>
          <w:cantSplit/>
          <w:trHeight w:val="850"/>
          <w:jc w:val="center"/>
        </w:trPr>
        <w:tc>
          <w:tcPr>
            <w:tcW w:w="2092" w:type="dxa"/>
          </w:tcPr>
          <w:p w14:paraId="762A919B" w14:textId="77777777" w:rsidR="002D546E" w:rsidRDefault="002D546E" w:rsidP="002D546E">
            <w:pPr>
              <w:pStyle w:val="Tabletext"/>
            </w:pPr>
            <w:r>
              <w:t>100 MHz</w:t>
            </w:r>
          </w:p>
          <w:p w14:paraId="4F9968D4" w14:textId="747BE0EF" w:rsidR="002D546E" w:rsidRDefault="002D546E" w:rsidP="002D546E">
            <w:pPr>
              <w:pStyle w:val="Tabletext"/>
            </w:pPr>
            <w:r>
              <w:t>To</w:t>
            </w:r>
          </w:p>
          <w:p w14:paraId="6F14481C" w14:textId="50C9F9D1" w:rsidR="002D546E" w:rsidRDefault="002D546E" w:rsidP="002D546E">
            <w:pPr>
              <w:pStyle w:val="Tabletext"/>
            </w:pPr>
            <w:r>
              <w:t>25.5 GHz</w:t>
            </w:r>
          </w:p>
        </w:tc>
        <w:tc>
          <w:tcPr>
            <w:tcW w:w="2482" w:type="dxa"/>
          </w:tcPr>
          <w:p w14:paraId="58A1DF56" w14:textId="77777777" w:rsidR="002D546E" w:rsidRDefault="002D546E" w:rsidP="002D546E">
            <w:pPr>
              <w:pStyle w:val="Tabletext"/>
              <w:jc w:val="center"/>
              <w:rPr>
                <w:sz w:val="22"/>
                <w:szCs w:val="22"/>
              </w:rPr>
            </w:pPr>
            <w:r w:rsidRPr="00C61A59">
              <w:rPr>
                <w:sz w:val="22"/>
                <w:szCs w:val="22"/>
              </w:rPr>
              <w:t xml:space="preserve">4,990–5,000 MHz </w:t>
            </w:r>
          </w:p>
          <w:p w14:paraId="163BA29F" w14:textId="55E54C02" w:rsidR="002D546E" w:rsidRDefault="002D546E" w:rsidP="002D546E">
            <w:pPr>
              <w:pStyle w:val="Tabletext"/>
              <w:jc w:val="center"/>
            </w:pPr>
            <w:r w:rsidRPr="00C61A59">
              <w:rPr>
                <w:sz w:val="22"/>
                <w:szCs w:val="22"/>
              </w:rPr>
              <w:t xml:space="preserve">10.6–10.7 GHz </w:t>
            </w:r>
          </w:p>
        </w:tc>
        <w:tc>
          <w:tcPr>
            <w:tcW w:w="2527" w:type="dxa"/>
          </w:tcPr>
          <w:p w14:paraId="22AA251C" w14:textId="3A8D98F2" w:rsidR="002D546E" w:rsidRDefault="002D546E" w:rsidP="002D546E">
            <w:pPr>
              <w:pStyle w:val="Tabletext"/>
              <w:jc w:val="center"/>
            </w:pPr>
            <w:r>
              <w:t>Fixed-satellite</w:t>
            </w:r>
          </w:p>
        </w:tc>
        <w:tc>
          <w:tcPr>
            <w:tcW w:w="2520" w:type="dxa"/>
          </w:tcPr>
          <w:p w14:paraId="04412372" w14:textId="77777777" w:rsidR="002D546E" w:rsidRDefault="002D546E" w:rsidP="002D546E">
            <w:pPr>
              <w:pStyle w:val="Tabletext"/>
              <w:jc w:val="center"/>
            </w:pPr>
            <w:r>
              <w:t>4 500-4 800</w:t>
            </w:r>
            <w:r w:rsidRPr="00BC6E63">
              <w:t xml:space="preserve"> MHz</w:t>
            </w:r>
          </w:p>
          <w:p w14:paraId="64DE876B" w14:textId="51F97FBD" w:rsidR="002D546E" w:rsidRDefault="002D546E" w:rsidP="002D546E">
            <w:pPr>
              <w:pStyle w:val="Tabletext"/>
              <w:jc w:val="center"/>
            </w:pPr>
            <w:r>
              <w:t>10.7-10.95 GHz</w:t>
            </w:r>
          </w:p>
        </w:tc>
      </w:tr>
    </w:tbl>
    <w:p w14:paraId="2539A83D" w14:textId="20CD1CAB" w:rsidR="00CD6E19" w:rsidRDefault="00CD6E19" w:rsidP="00CD6E19"/>
    <w:p w14:paraId="4B0D1EF2" w14:textId="5B6A53BA" w:rsidR="005E1443" w:rsidRDefault="005E1443" w:rsidP="005E1443">
      <w:pPr>
        <w:pStyle w:val="TableNo"/>
        <w:rPr>
          <w:lang w:eastAsia="zh-CN"/>
        </w:rPr>
      </w:pPr>
      <w:r>
        <w:rPr>
          <w:lang w:eastAsia="zh-CN"/>
        </w:rPr>
        <w:lastRenderedPageBreak/>
        <w:t>Table 2</w:t>
      </w:r>
    </w:p>
    <w:p w14:paraId="5168F524" w14:textId="68AEF3E8" w:rsidR="005E1443" w:rsidRDefault="005E1443" w:rsidP="005E1443">
      <w:pPr>
        <w:pStyle w:val="Tabletitle"/>
        <w:rPr>
          <w:lang w:eastAsia="zh-CN"/>
        </w:rPr>
      </w:pPr>
      <w:r>
        <w:rPr>
          <w:lang w:eastAsia="zh-CN"/>
        </w:rPr>
        <w:t>Non-GSO systems, under the responsibility of WP 4A, adjacent to RAS primary bands utilized by ALMA in the RQZ of Chile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2"/>
        <w:gridCol w:w="2522"/>
        <w:gridCol w:w="2562"/>
        <w:gridCol w:w="2425"/>
      </w:tblGrid>
      <w:tr w:rsidR="002D546E" w14:paraId="58B87304" w14:textId="04563652" w:rsidTr="002D546E">
        <w:trPr>
          <w:cantSplit/>
          <w:jc w:val="center"/>
        </w:trPr>
        <w:tc>
          <w:tcPr>
            <w:tcW w:w="2112" w:type="dxa"/>
          </w:tcPr>
          <w:p w14:paraId="24026D92" w14:textId="393AEDF4" w:rsidR="002D546E" w:rsidRDefault="002D546E" w:rsidP="007C7ACF">
            <w:pPr>
              <w:pStyle w:val="Tablehead"/>
            </w:pPr>
            <w:r>
              <w:t>ALMA Observation Frequency Ranges</w:t>
            </w:r>
            <w:r w:rsidRPr="007E0239">
              <w:rPr>
                <w:vertAlign w:val="superscript"/>
              </w:rPr>
              <w:t>2</w:t>
            </w:r>
          </w:p>
        </w:tc>
        <w:tc>
          <w:tcPr>
            <w:tcW w:w="2522" w:type="dxa"/>
          </w:tcPr>
          <w:p w14:paraId="0C3234B6" w14:textId="7E1935A7" w:rsidR="002D546E" w:rsidRDefault="002D546E" w:rsidP="007C7ACF">
            <w:pPr>
              <w:pStyle w:val="Tablehead"/>
            </w:pPr>
            <w:r>
              <w:t>RAS bands</w:t>
            </w:r>
          </w:p>
        </w:tc>
        <w:tc>
          <w:tcPr>
            <w:tcW w:w="2562" w:type="dxa"/>
          </w:tcPr>
          <w:p w14:paraId="7D1CE635" w14:textId="67F19491" w:rsidR="002D546E" w:rsidRDefault="002D546E" w:rsidP="007C7ACF">
            <w:pPr>
              <w:pStyle w:val="Tablehead"/>
            </w:pPr>
            <w:r>
              <w:t>Non-GSO service</w:t>
            </w:r>
          </w:p>
        </w:tc>
        <w:tc>
          <w:tcPr>
            <w:tcW w:w="2425" w:type="dxa"/>
          </w:tcPr>
          <w:p w14:paraId="7A6E89BA" w14:textId="278EA054" w:rsidR="002D546E" w:rsidRDefault="002D546E" w:rsidP="007C7ACF">
            <w:pPr>
              <w:pStyle w:val="Tablehead"/>
            </w:pPr>
            <w:r>
              <w:t>Non-GSO Operating frequency range</w:t>
            </w:r>
          </w:p>
        </w:tc>
      </w:tr>
      <w:tr w:rsidR="002D546E" w14:paraId="027F57B0" w14:textId="7DA6AFA2" w:rsidTr="002D546E">
        <w:trPr>
          <w:cantSplit/>
          <w:trHeight w:val="1930"/>
          <w:jc w:val="center"/>
        </w:trPr>
        <w:tc>
          <w:tcPr>
            <w:tcW w:w="2112" w:type="dxa"/>
          </w:tcPr>
          <w:p w14:paraId="5DF8DDB0" w14:textId="77777777" w:rsidR="002D546E" w:rsidRDefault="002D546E" w:rsidP="005E1443">
            <w:pPr>
              <w:pStyle w:val="Tabletext"/>
            </w:pPr>
            <w:r>
              <w:t>31.3-45 GHz</w:t>
            </w:r>
          </w:p>
          <w:p w14:paraId="2F5D8866" w14:textId="77777777" w:rsidR="002D546E" w:rsidRDefault="002D546E" w:rsidP="005E1443">
            <w:pPr>
              <w:pStyle w:val="Tabletext"/>
            </w:pPr>
            <w:r>
              <w:t>67-90 GHz</w:t>
            </w:r>
          </w:p>
          <w:p w14:paraId="32467444" w14:textId="77777777" w:rsidR="002D546E" w:rsidRDefault="002D546E" w:rsidP="005E1443">
            <w:pPr>
              <w:pStyle w:val="Tabletext"/>
            </w:pPr>
            <w:r>
              <w:t>84-116 GHz</w:t>
            </w:r>
          </w:p>
          <w:p w14:paraId="53E72BEB" w14:textId="77777777" w:rsidR="002D546E" w:rsidRDefault="002D546E" w:rsidP="005E1443">
            <w:pPr>
              <w:pStyle w:val="Tabletext"/>
            </w:pPr>
            <w:r>
              <w:t>125-370 GHz</w:t>
            </w:r>
          </w:p>
          <w:p w14:paraId="668CC0B1" w14:textId="77777777" w:rsidR="002D546E" w:rsidRDefault="002D546E" w:rsidP="005E1443">
            <w:pPr>
              <w:pStyle w:val="Tabletext"/>
            </w:pPr>
            <w:r>
              <w:t>385-500 GHz</w:t>
            </w:r>
          </w:p>
          <w:p w14:paraId="40C93CD6" w14:textId="77777777" w:rsidR="002D546E" w:rsidRDefault="002D546E" w:rsidP="005E1443">
            <w:pPr>
              <w:pStyle w:val="Tabletext"/>
            </w:pPr>
            <w:r>
              <w:t>602-720 GHz</w:t>
            </w:r>
          </w:p>
          <w:p w14:paraId="0994891F" w14:textId="032FC539" w:rsidR="002D546E" w:rsidRDefault="002D546E" w:rsidP="005E1443">
            <w:pPr>
              <w:pStyle w:val="Tabletext"/>
            </w:pPr>
            <w:r>
              <w:t>787-950 GHz</w:t>
            </w:r>
          </w:p>
        </w:tc>
        <w:tc>
          <w:tcPr>
            <w:tcW w:w="2522" w:type="dxa"/>
          </w:tcPr>
          <w:p w14:paraId="44A9EFCD" w14:textId="229E093D" w:rsidR="002D546E" w:rsidRDefault="002D546E" w:rsidP="007C7ACF">
            <w:pPr>
              <w:pStyle w:val="Tabletext"/>
              <w:jc w:val="center"/>
              <w:rPr>
                <w:sz w:val="22"/>
                <w:szCs w:val="22"/>
              </w:rPr>
            </w:pPr>
            <w:r w:rsidRPr="00C61A59">
              <w:rPr>
                <w:sz w:val="22"/>
                <w:szCs w:val="22"/>
              </w:rPr>
              <w:t>42.5–43.5 GHz</w:t>
            </w:r>
          </w:p>
          <w:p w14:paraId="46E2AF66" w14:textId="3ADF8AD1" w:rsidR="002D546E" w:rsidRDefault="002D546E" w:rsidP="002D54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C61A59">
              <w:rPr>
                <w:sz w:val="22"/>
                <w:szCs w:val="22"/>
              </w:rPr>
              <w:t>76-77.5</w:t>
            </w:r>
            <w:r>
              <w:rPr>
                <w:sz w:val="22"/>
                <w:szCs w:val="22"/>
              </w:rPr>
              <w:t xml:space="preserve"> GHz</w:t>
            </w:r>
          </w:p>
          <w:p w14:paraId="2CDD45C0" w14:textId="223A946D" w:rsidR="002D546E" w:rsidRPr="00C61A59" w:rsidRDefault="002D546E" w:rsidP="002D546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C61A59">
              <w:rPr>
                <w:sz w:val="22"/>
                <w:szCs w:val="22"/>
              </w:rPr>
              <w:t>200–231.5 GHz</w:t>
            </w:r>
          </w:p>
          <w:p w14:paraId="23D53F1B" w14:textId="77777777" w:rsidR="002D546E" w:rsidRDefault="002D546E" w:rsidP="007C7ACF">
            <w:pPr>
              <w:pStyle w:val="Tabletext"/>
              <w:jc w:val="center"/>
              <w:rPr>
                <w:sz w:val="22"/>
                <w:szCs w:val="22"/>
              </w:rPr>
            </w:pPr>
          </w:p>
          <w:p w14:paraId="225D192B" w14:textId="5C83BB01" w:rsidR="002D546E" w:rsidRDefault="002D546E" w:rsidP="007C7ACF">
            <w:pPr>
              <w:pStyle w:val="Tabletext"/>
              <w:jc w:val="center"/>
            </w:pPr>
          </w:p>
        </w:tc>
        <w:tc>
          <w:tcPr>
            <w:tcW w:w="2562" w:type="dxa"/>
          </w:tcPr>
          <w:p w14:paraId="5F1D4F7D" w14:textId="3ECA2F1B" w:rsidR="002D546E" w:rsidRDefault="002D546E" w:rsidP="005E1443">
            <w:pPr>
              <w:pStyle w:val="Tabletext"/>
              <w:jc w:val="center"/>
            </w:pPr>
            <w:r>
              <w:t>Fixed-satellite</w:t>
            </w:r>
          </w:p>
        </w:tc>
        <w:tc>
          <w:tcPr>
            <w:tcW w:w="2425" w:type="dxa"/>
          </w:tcPr>
          <w:p w14:paraId="3F8AD580" w14:textId="77777777" w:rsidR="002D546E" w:rsidRDefault="002D546E" w:rsidP="002D546E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41.5-42.5 G</w:t>
            </w:r>
            <w:r w:rsidRPr="00353D4F">
              <w:rPr>
                <w:lang w:val="fr-FR"/>
              </w:rPr>
              <w:t>Hz</w:t>
            </w:r>
          </w:p>
          <w:p w14:paraId="4C2D770D" w14:textId="77777777" w:rsidR="002D546E" w:rsidRDefault="002D546E" w:rsidP="002D546E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74-76 GHz</w:t>
            </w:r>
          </w:p>
          <w:p w14:paraId="7EACDED9" w14:textId="073D089D" w:rsidR="002D546E" w:rsidRDefault="002D546E" w:rsidP="002D546E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235-240 G</w:t>
            </w:r>
            <w:r w:rsidRPr="00353D4F">
              <w:rPr>
                <w:lang w:val="fr-FR"/>
              </w:rPr>
              <w:t>Hz</w:t>
            </w:r>
          </w:p>
        </w:tc>
      </w:tr>
    </w:tbl>
    <w:p w14:paraId="1AD003EB" w14:textId="77777777" w:rsidR="005E1443" w:rsidRPr="005E1443" w:rsidRDefault="005E1443" w:rsidP="007571C9">
      <w:pPr>
        <w:pStyle w:val="Tabletext"/>
        <w:rPr>
          <w:lang w:eastAsia="zh-CN"/>
        </w:rPr>
      </w:pPr>
    </w:p>
    <w:p w14:paraId="2FF7FFDB" w14:textId="1C179D91" w:rsidR="00CD6E19" w:rsidRDefault="00CD6E19" w:rsidP="00CD6E19"/>
    <w:p w14:paraId="581F4A47" w14:textId="77777777" w:rsidR="00CD6E19" w:rsidRPr="0083662D" w:rsidRDefault="00CD6E19" w:rsidP="00CD6E19">
      <w:pPr>
        <w:spacing w:after="120"/>
        <w:jc w:val="both"/>
        <w:rPr>
          <w:szCs w:val="24"/>
        </w:rPr>
      </w:pPr>
      <w:r w:rsidRPr="0083662D">
        <w:rPr>
          <w:szCs w:val="24"/>
        </w:rPr>
        <w:t xml:space="preserve">Working Party </w:t>
      </w:r>
      <w:r>
        <w:rPr>
          <w:szCs w:val="24"/>
        </w:rPr>
        <w:t>7D</w:t>
      </w:r>
      <w:r w:rsidRPr="0083662D">
        <w:rPr>
          <w:szCs w:val="24"/>
        </w:rPr>
        <w:t xml:space="preserve"> looks forward to a close cooperation with WP </w:t>
      </w:r>
      <w:r>
        <w:rPr>
          <w:szCs w:val="24"/>
        </w:rPr>
        <w:t>4A</w:t>
      </w:r>
      <w:r w:rsidRPr="0083662D">
        <w:rPr>
          <w:szCs w:val="24"/>
        </w:rPr>
        <w:t xml:space="preserve"> under this agenda item. </w:t>
      </w:r>
    </w:p>
    <w:p w14:paraId="437157D7" w14:textId="77777777" w:rsidR="00CD6E19" w:rsidRPr="0083662D" w:rsidRDefault="00CD6E19" w:rsidP="00CD6E19">
      <w:pPr>
        <w:spacing w:after="240"/>
        <w:jc w:val="both"/>
        <w:rPr>
          <w:lang w:eastAsia="zh-CN"/>
        </w:rPr>
      </w:pPr>
      <w:r w:rsidRPr="00406096">
        <w:rPr>
          <w:lang w:eastAsia="zh-CN"/>
        </w:rPr>
        <w:t xml:space="preserve">The next WP </w:t>
      </w:r>
      <w:r>
        <w:rPr>
          <w:lang w:eastAsia="zh-CN"/>
        </w:rPr>
        <w:t>7D</w:t>
      </w:r>
      <w:r w:rsidRPr="00406096">
        <w:rPr>
          <w:lang w:eastAsia="zh-CN"/>
        </w:rPr>
        <w:t xml:space="preserve"> meeting is expected to take place in </w:t>
      </w:r>
      <w:r>
        <w:rPr>
          <w:lang w:eastAsia="zh-CN"/>
        </w:rPr>
        <w:t>XXX</w:t>
      </w:r>
      <w:r w:rsidRPr="00406096">
        <w:rPr>
          <w:lang w:eastAsia="zh-CN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CD6E19" w:rsidRPr="0083662D" w14:paraId="34B63871" w14:textId="77777777" w:rsidTr="003F05AA">
        <w:tc>
          <w:tcPr>
            <w:tcW w:w="5000" w:type="pct"/>
            <w:gridSpan w:val="2"/>
          </w:tcPr>
          <w:p w14:paraId="6E43A8F9" w14:textId="77777777" w:rsidR="00CD6E19" w:rsidRPr="0083662D" w:rsidRDefault="00CD6E19" w:rsidP="003F05AA">
            <w:pPr>
              <w:spacing w:after="120"/>
              <w:jc w:val="both"/>
              <w:rPr>
                <w:lang w:eastAsia="zh-CN"/>
              </w:rPr>
            </w:pPr>
            <w:r w:rsidRPr="0083662D">
              <w:rPr>
                <w:b/>
                <w:bCs/>
                <w:lang w:eastAsia="zh-CN"/>
              </w:rPr>
              <w:t>Status:</w:t>
            </w:r>
            <w:r>
              <w:rPr>
                <w:b/>
                <w:bCs/>
                <w:lang w:eastAsia="zh-CN"/>
              </w:rPr>
              <w:tab/>
            </w:r>
            <w:r w:rsidRPr="0083662D">
              <w:rPr>
                <w:lang w:eastAsia="zh-CN"/>
              </w:rPr>
              <w:t>For information and action, if any</w:t>
            </w:r>
          </w:p>
        </w:tc>
      </w:tr>
      <w:tr w:rsidR="00CD6E19" w:rsidRPr="00147D37" w14:paraId="3663B19A" w14:textId="77777777" w:rsidTr="003F05AA">
        <w:tc>
          <w:tcPr>
            <w:tcW w:w="2500" w:type="pct"/>
          </w:tcPr>
          <w:p w14:paraId="4DA014C0" w14:textId="77777777" w:rsidR="00CD6E19" w:rsidRPr="0083662D" w:rsidRDefault="00CD6E19" w:rsidP="003F05AA">
            <w:pPr>
              <w:jc w:val="both"/>
              <w:rPr>
                <w:lang w:eastAsia="zh-CN"/>
              </w:rPr>
            </w:pPr>
            <w:r w:rsidRPr="0083662D">
              <w:rPr>
                <w:b/>
                <w:bCs/>
                <w:lang w:eastAsia="zh-CN"/>
              </w:rPr>
              <w:t>Contact:</w:t>
            </w:r>
            <w:r>
              <w:rPr>
                <w:b/>
                <w:bCs/>
                <w:lang w:eastAsia="zh-CN"/>
              </w:rPr>
              <w:tab/>
            </w:r>
            <w:r>
              <w:rPr>
                <w:lang w:eastAsia="zh-CN"/>
              </w:rPr>
              <w:t>XXX</w:t>
            </w:r>
          </w:p>
        </w:tc>
        <w:tc>
          <w:tcPr>
            <w:tcW w:w="2500" w:type="pct"/>
          </w:tcPr>
          <w:p w14:paraId="1148F174" w14:textId="77777777" w:rsidR="00CD6E19" w:rsidRPr="002710E6" w:rsidRDefault="00CD6E19" w:rsidP="003F05AA">
            <w:pPr>
              <w:jc w:val="both"/>
              <w:rPr>
                <w:lang w:val="fr-FR" w:eastAsia="zh-CN"/>
              </w:rPr>
            </w:pPr>
            <w:r w:rsidRPr="002710E6">
              <w:rPr>
                <w:b/>
                <w:bCs/>
                <w:lang w:val="fr-FR" w:eastAsia="zh-CN"/>
              </w:rPr>
              <w:t>E-mail:</w:t>
            </w:r>
            <w:r w:rsidRPr="002710E6">
              <w:rPr>
                <w:lang w:val="fr-FR" w:eastAsia="zh-CN"/>
              </w:rPr>
              <w:t xml:space="preserve"> </w:t>
            </w:r>
            <w:r>
              <w:rPr>
                <w:lang w:val="fr-FR" w:eastAsia="zh-CN"/>
              </w:rPr>
              <w:tab/>
            </w:r>
            <w:r w:rsidRPr="000347A5">
              <w:rPr>
                <w:lang w:val="fr-FR" w:eastAsia="zh-CN"/>
              </w:rPr>
              <w:t>X</w:t>
            </w:r>
            <w:r w:rsidRPr="000347A5">
              <w:rPr>
                <w:lang w:val="fr-FR"/>
              </w:rPr>
              <w:t>XX</w:t>
            </w:r>
            <w:r>
              <w:rPr>
                <w:lang w:val="fr-FR" w:eastAsia="zh-CN"/>
              </w:rPr>
              <w:t xml:space="preserve"> </w:t>
            </w:r>
          </w:p>
        </w:tc>
      </w:tr>
    </w:tbl>
    <w:p w14:paraId="29A13F35" w14:textId="77777777" w:rsidR="00CD6E19" w:rsidRPr="002710E6" w:rsidRDefault="00CD6E19" w:rsidP="00CD6E19">
      <w:pPr>
        <w:spacing w:before="0"/>
        <w:rPr>
          <w:lang w:val="fr-FR" w:eastAsia="zh-CN"/>
        </w:rPr>
      </w:pPr>
    </w:p>
    <w:p w14:paraId="2A029B10" w14:textId="77777777" w:rsidR="00CD6E19" w:rsidRDefault="00CD6E19" w:rsidP="00CD6E19">
      <w:pPr>
        <w:jc w:val="center"/>
        <w:rPr>
          <w:lang w:val="fr-FR" w:eastAsia="zh-CN"/>
        </w:rPr>
      </w:pPr>
      <w:r w:rsidRPr="0083662D">
        <w:rPr>
          <w:lang w:eastAsia="zh-CN"/>
        </w:rPr>
        <w:t>______________</w:t>
      </w:r>
    </w:p>
    <w:p w14:paraId="35DBDBD8" w14:textId="77777777" w:rsidR="007E0239" w:rsidRDefault="007E023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zh-CN"/>
        </w:rPr>
      </w:pPr>
      <w:r>
        <w:rPr>
          <w:b/>
          <w:bCs/>
          <w:i/>
          <w:iCs/>
          <w:lang w:eastAsia="zh-CN"/>
        </w:rPr>
        <w:br w:type="page"/>
      </w:r>
    </w:p>
    <w:p w14:paraId="5C897928" w14:textId="2853E744" w:rsidR="00A1575A" w:rsidRDefault="007E0239" w:rsidP="00A1575A">
      <w:pPr>
        <w:pStyle w:val="EditorsNote"/>
        <w:spacing w:before="360"/>
        <w:rPr>
          <w:b/>
          <w:bCs/>
          <w:i w:val="0"/>
          <w:iCs w:val="0"/>
          <w:lang w:eastAsia="zh-CN"/>
        </w:rPr>
      </w:pPr>
      <w:r w:rsidRPr="007E0239">
        <w:rPr>
          <w:b/>
          <w:bCs/>
          <w:i w:val="0"/>
          <w:iCs w:val="0"/>
          <w:lang w:eastAsia="zh-CN"/>
        </w:rPr>
        <w:lastRenderedPageBreak/>
        <w:t>Annex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"/>
        <w:gridCol w:w="5251"/>
        <w:gridCol w:w="4410"/>
      </w:tblGrid>
      <w:tr w:rsidR="0056545B" w14:paraId="06C15AD5" w14:textId="77777777" w:rsidTr="00C61A59">
        <w:trPr>
          <w:cantSplit/>
          <w:jc w:val="center"/>
        </w:trPr>
        <w:tc>
          <w:tcPr>
            <w:tcW w:w="864" w:type="dxa"/>
          </w:tcPr>
          <w:p w14:paraId="1E44BBDB" w14:textId="0D5B83FA" w:rsidR="0056545B" w:rsidRPr="00C61A59" w:rsidRDefault="0056545B" w:rsidP="0056545B">
            <w:pPr>
              <w:pStyle w:val="Tablehe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1" w:type="dxa"/>
          </w:tcPr>
          <w:p w14:paraId="4DE78B69" w14:textId="5F3818D1" w:rsidR="0056545B" w:rsidRPr="00C61A59" w:rsidRDefault="0056545B" w:rsidP="0056545B">
            <w:pPr>
              <w:pStyle w:val="Tablehe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RQZ</w:t>
            </w:r>
            <w:r w:rsidRPr="00C61A59">
              <w:rPr>
                <w:rFonts w:ascii="Times New Roman" w:hAnsi="Times New Roman" w:cs="Times New Roman"/>
                <w:sz w:val="22"/>
                <w:szCs w:val="22"/>
              </w:rPr>
              <w:t xml:space="preserve"> Observations under RR No. 4.4</w:t>
            </w:r>
          </w:p>
        </w:tc>
        <w:tc>
          <w:tcPr>
            <w:tcW w:w="4410" w:type="dxa"/>
          </w:tcPr>
          <w:p w14:paraId="46DC2697" w14:textId="1F8A41B7" w:rsidR="0056545B" w:rsidRPr="00C61A59" w:rsidRDefault="0056545B" w:rsidP="0056545B">
            <w:pPr>
              <w:pStyle w:val="Tablehe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RQZ</w:t>
            </w:r>
            <w:r w:rsidRPr="00C61A59">
              <w:rPr>
                <w:rFonts w:ascii="Times New Roman" w:hAnsi="Times New Roman" w:cs="Times New Roman"/>
                <w:sz w:val="22"/>
                <w:szCs w:val="22"/>
              </w:rPr>
              <w:t xml:space="preserve"> Observations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under </w:t>
            </w:r>
            <w:r w:rsidRPr="00C61A59">
              <w:rPr>
                <w:rFonts w:ascii="Times New Roman" w:hAnsi="Times New Roman" w:cs="Times New Roman"/>
                <w:sz w:val="22"/>
                <w:szCs w:val="22"/>
              </w:rPr>
              <w:t>RAS Allocation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</w:tr>
      <w:tr w:rsidR="0056545B" w14:paraId="6DFBB770" w14:textId="77777777" w:rsidTr="00C61A59">
        <w:trPr>
          <w:cantSplit/>
          <w:trHeight w:val="3457"/>
          <w:jc w:val="center"/>
        </w:trPr>
        <w:tc>
          <w:tcPr>
            <w:tcW w:w="864" w:type="dxa"/>
          </w:tcPr>
          <w:p w14:paraId="5D0B8966" w14:textId="1F5344E5" w:rsidR="0056545B" w:rsidRPr="00C61A59" w:rsidRDefault="0056545B" w:rsidP="0056545B">
            <w:pPr>
              <w:pStyle w:val="Tabletext"/>
              <w:rPr>
                <w:sz w:val="22"/>
                <w:szCs w:val="22"/>
              </w:rPr>
            </w:pPr>
            <w:r w:rsidRPr="00C61A59">
              <w:rPr>
                <w:sz w:val="22"/>
                <w:szCs w:val="22"/>
              </w:rPr>
              <w:t>SKAO</w:t>
            </w:r>
          </w:p>
        </w:tc>
        <w:tc>
          <w:tcPr>
            <w:tcW w:w="5251" w:type="dxa"/>
          </w:tcPr>
          <w:p w14:paraId="1EA2E772" w14:textId="2CDBA6E2" w:rsidR="0056545B" w:rsidRPr="00C61A59" w:rsidRDefault="0056545B" w:rsidP="005654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C61A59">
              <w:rPr>
                <w:sz w:val="22"/>
                <w:szCs w:val="22"/>
              </w:rPr>
              <w:t>100-150.05 MHz, 153-322 MHz, 328.6-406.1 MHz, 410-606 MHz, 606-608 MHz, 614-1330 MHz, 1330-1400 MHz, 1427-1610.6 MHz, 1610.6-1613.8 MHz, 1613.8-1660 MHz, 1670-1718.8 MHz, 1718.8-1722.2 MHz, 1722.2-2655 MHz, 2690-2700 MHz, 2700-3260 MHz, 3260-3267 MHz, 3267-3332 MHz, 3332-3339 MHz, 3339-3345 MHz, 3345-3352.5 MHz, 3352.5-4800 MHz, 4800-4825 MHz, 4825-4835 MHz, 4835-4950 MHz, 4950-4990 MHz, 5000-6650 MHz, 6650-6675.2 MHz, 6675.2-10600 MHz, 10.7-14.47 GHz, 14.47-14.5 GHz, 14.5-15.35 GHz, 15.4-22.01 GHz, 22.01-22.21 GHz, 22.21-22.5 GHz, 22.5-22.81 GHz, 22.81-22.86 GHz, 22.86-23.07 GHz, 23.07-23.12 GHz, 23.12-23.6 GHz, 23.6-24 GHz, 24-25.5 GHz</w:t>
            </w:r>
          </w:p>
        </w:tc>
        <w:tc>
          <w:tcPr>
            <w:tcW w:w="4410" w:type="dxa"/>
          </w:tcPr>
          <w:p w14:paraId="3ECAA0F1" w14:textId="77777777" w:rsidR="00800BBE" w:rsidRDefault="0056545B" w:rsidP="005654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C61A59">
              <w:rPr>
                <w:sz w:val="22"/>
                <w:szCs w:val="22"/>
              </w:rPr>
              <w:t>150.05–153 MHz (Primary R1)</w:t>
            </w:r>
            <w:r w:rsidRPr="00C61A59">
              <w:rPr>
                <w:sz w:val="22"/>
                <w:szCs w:val="22"/>
              </w:rPr>
              <w:br/>
              <w:t>322–328.6 MHz (Primary)</w:t>
            </w:r>
            <w:r w:rsidRPr="00C61A59">
              <w:rPr>
                <w:sz w:val="22"/>
                <w:szCs w:val="22"/>
              </w:rPr>
              <w:br/>
              <w:t>406.1–410 MHz (Primary)</w:t>
            </w:r>
            <w:r w:rsidRPr="00C61A59">
              <w:rPr>
                <w:sz w:val="22"/>
                <w:szCs w:val="22"/>
              </w:rPr>
              <w:br/>
              <w:t>608–614 MHz (Primary in R2)</w:t>
            </w:r>
            <w:r w:rsidRPr="00C61A59">
              <w:rPr>
                <w:sz w:val="22"/>
                <w:szCs w:val="22"/>
              </w:rPr>
              <w:br/>
              <w:t>1,400–1,427 MHz (Primary)</w:t>
            </w:r>
            <w:r w:rsidRPr="00C61A59">
              <w:rPr>
                <w:sz w:val="22"/>
                <w:szCs w:val="22"/>
              </w:rPr>
              <w:br/>
              <w:t>1,660–1,670 MHz (Primary)</w:t>
            </w:r>
            <w:r w:rsidRPr="00C61A59">
              <w:rPr>
                <w:sz w:val="22"/>
                <w:szCs w:val="22"/>
              </w:rPr>
              <w:br/>
              <w:t>2,655–2,690 MHz (Secondary)</w:t>
            </w:r>
          </w:p>
          <w:p w14:paraId="1BDE712A" w14:textId="72E75812" w:rsidR="0056545B" w:rsidRPr="00C61A59" w:rsidRDefault="00800BBE" w:rsidP="005654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914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800-4</w:t>
            </w:r>
            <w:r w:rsidR="004914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990 MHz (Secondary)</w:t>
            </w:r>
            <w:r w:rsidR="0056545B" w:rsidRPr="00C61A59">
              <w:rPr>
                <w:sz w:val="22"/>
                <w:szCs w:val="22"/>
              </w:rPr>
              <w:br/>
              <w:t>4,990–5,000 MHz (Primary)</w:t>
            </w:r>
            <w:r w:rsidR="0056545B" w:rsidRPr="00C61A59">
              <w:rPr>
                <w:sz w:val="22"/>
                <w:szCs w:val="22"/>
              </w:rPr>
              <w:br/>
              <w:t>10.6–10.7 GHz (Primary)</w:t>
            </w:r>
            <w:r w:rsidR="0056545B" w:rsidRPr="00C61A59">
              <w:rPr>
                <w:sz w:val="22"/>
                <w:szCs w:val="22"/>
              </w:rPr>
              <w:br/>
              <w:t>15.35–15.4 GHz (Primary)</w:t>
            </w:r>
          </w:p>
          <w:p w14:paraId="17169A5D" w14:textId="77777777" w:rsidR="0056545B" w:rsidRPr="00C61A59" w:rsidRDefault="0056545B" w:rsidP="005654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C61A59">
              <w:rPr>
                <w:sz w:val="22"/>
                <w:szCs w:val="22"/>
              </w:rPr>
              <w:t>22.21-22.5 GHz (Primary)</w:t>
            </w:r>
          </w:p>
          <w:p w14:paraId="4DEF2EBB" w14:textId="61636ADD" w:rsidR="0056545B" w:rsidRPr="00C61A59" w:rsidRDefault="0056545B" w:rsidP="005654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C61A59">
              <w:rPr>
                <w:sz w:val="22"/>
                <w:szCs w:val="22"/>
              </w:rPr>
              <w:t>23.6-24 GHz (Primary)</w:t>
            </w:r>
            <w:r w:rsidRPr="00C61A59">
              <w:rPr>
                <w:sz w:val="22"/>
                <w:szCs w:val="22"/>
              </w:rPr>
              <w:br/>
            </w:r>
          </w:p>
          <w:p w14:paraId="7E7BC9DA" w14:textId="78ED8607" w:rsidR="0056545B" w:rsidRPr="00C61A59" w:rsidRDefault="0056545B" w:rsidP="0056545B">
            <w:pPr>
              <w:pStyle w:val="Tabletext"/>
              <w:rPr>
                <w:sz w:val="22"/>
                <w:szCs w:val="22"/>
              </w:rPr>
            </w:pPr>
          </w:p>
        </w:tc>
      </w:tr>
      <w:tr w:rsidR="0056545B" w14:paraId="075164A0" w14:textId="77777777" w:rsidTr="00C61A59">
        <w:trPr>
          <w:cantSplit/>
          <w:jc w:val="center"/>
        </w:trPr>
        <w:tc>
          <w:tcPr>
            <w:tcW w:w="864" w:type="dxa"/>
          </w:tcPr>
          <w:p w14:paraId="169047DD" w14:textId="6DBFB5FB" w:rsidR="0056545B" w:rsidRPr="00C61A59" w:rsidRDefault="0056545B" w:rsidP="0056545B">
            <w:pPr>
              <w:pStyle w:val="Tabletext"/>
              <w:rPr>
                <w:sz w:val="22"/>
                <w:szCs w:val="22"/>
              </w:rPr>
            </w:pPr>
            <w:r w:rsidRPr="00C61A59">
              <w:rPr>
                <w:sz w:val="22"/>
                <w:szCs w:val="22"/>
              </w:rPr>
              <w:t>ALMA</w:t>
            </w:r>
          </w:p>
        </w:tc>
        <w:tc>
          <w:tcPr>
            <w:tcW w:w="5251" w:type="dxa"/>
          </w:tcPr>
          <w:p w14:paraId="38219BA3" w14:textId="6FD09A2F" w:rsidR="0056545B" w:rsidRPr="00C61A59" w:rsidRDefault="0056545B" w:rsidP="0056545B">
            <w:pPr>
              <w:pStyle w:val="Tabletext"/>
              <w:jc w:val="center"/>
              <w:rPr>
                <w:sz w:val="22"/>
                <w:szCs w:val="22"/>
              </w:rPr>
            </w:pPr>
            <w:r w:rsidRPr="00C61A59">
              <w:rPr>
                <w:sz w:val="22"/>
                <w:szCs w:val="22"/>
              </w:rPr>
              <w:t>76-77.5 GHz, 77.5-79 GHz, 79-86 GHz, 125-130 GHz, 134-136 GHz, 136-141 GHz, 248-250 GHz, 945-950 GHz</w:t>
            </w:r>
          </w:p>
        </w:tc>
        <w:tc>
          <w:tcPr>
            <w:tcW w:w="4410" w:type="dxa"/>
          </w:tcPr>
          <w:p w14:paraId="58C0FA6B" w14:textId="77777777" w:rsidR="0056545B" w:rsidRPr="00C61A59" w:rsidRDefault="0056545B" w:rsidP="005654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C61A59">
              <w:rPr>
                <w:sz w:val="22"/>
                <w:szCs w:val="22"/>
              </w:rPr>
              <w:t>31.3–31.8 GHz (Primary)</w:t>
            </w:r>
            <w:r w:rsidRPr="00C61A59">
              <w:rPr>
                <w:sz w:val="22"/>
                <w:szCs w:val="22"/>
              </w:rPr>
              <w:br/>
              <w:t>42.5–43.5 GHz (Primary)</w:t>
            </w:r>
          </w:p>
          <w:p w14:paraId="3A7FE96E" w14:textId="53977BA3" w:rsidR="0056545B" w:rsidRPr="00C61A59" w:rsidRDefault="0056545B" w:rsidP="005654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C61A59">
              <w:rPr>
                <w:sz w:val="22"/>
                <w:szCs w:val="22"/>
              </w:rPr>
              <w:t>76-77.5 (Primary)</w:t>
            </w:r>
          </w:p>
          <w:p w14:paraId="3CE248C2" w14:textId="77777777" w:rsidR="0056545B" w:rsidRPr="00C61A59" w:rsidRDefault="0056545B" w:rsidP="005654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C61A59">
              <w:rPr>
                <w:sz w:val="22"/>
                <w:szCs w:val="22"/>
              </w:rPr>
              <w:t>77.5-79 (Secondary)</w:t>
            </w:r>
          </w:p>
          <w:p w14:paraId="25BF4C2D" w14:textId="77777777" w:rsidR="0056545B" w:rsidRPr="00C61A59" w:rsidRDefault="0056545B" w:rsidP="005654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C61A59">
              <w:rPr>
                <w:sz w:val="22"/>
                <w:szCs w:val="22"/>
              </w:rPr>
              <w:t>79-94 GHz (Primary)</w:t>
            </w:r>
          </w:p>
          <w:p w14:paraId="7C5C9873" w14:textId="2E84C36A" w:rsidR="0056545B" w:rsidRPr="00C61A59" w:rsidRDefault="0056545B" w:rsidP="005654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C61A59">
              <w:rPr>
                <w:sz w:val="22"/>
                <w:szCs w:val="22"/>
              </w:rPr>
              <w:t>94-94.1 GHz (Secondary)</w:t>
            </w:r>
            <w:r w:rsidRPr="00C61A59">
              <w:rPr>
                <w:sz w:val="22"/>
                <w:szCs w:val="22"/>
              </w:rPr>
              <w:br/>
              <w:t>94.1-116 (Primary)</w:t>
            </w:r>
            <w:r w:rsidRPr="00C61A59">
              <w:rPr>
                <w:sz w:val="22"/>
                <w:szCs w:val="22"/>
              </w:rPr>
              <w:br/>
              <w:t>130-134 (Primary)</w:t>
            </w:r>
            <w:r w:rsidRPr="00C61A59">
              <w:rPr>
                <w:sz w:val="22"/>
                <w:szCs w:val="22"/>
              </w:rPr>
              <w:br/>
              <w:t>141-158.5 GHz (Primary)</w:t>
            </w:r>
            <w:r w:rsidRPr="00C61A59">
              <w:rPr>
                <w:sz w:val="22"/>
                <w:szCs w:val="22"/>
              </w:rPr>
              <w:br/>
              <w:t>164–167 GHz (Primary)</w:t>
            </w:r>
            <w:r w:rsidRPr="00C61A59">
              <w:rPr>
                <w:sz w:val="22"/>
                <w:szCs w:val="22"/>
              </w:rPr>
              <w:br/>
              <w:t>182–185 GHz (Primary)</w:t>
            </w:r>
            <w:r w:rsidRPr="00C61A59">
              <w:rPr>
                <w:sz w:val="22"/>
                <w:szCs w:val="22"/>
              </w:rPr>
              <w:br/>
              <w:t>200–231.5 GHz (Primary)</w:t>
            </w:r>
            <w:r w:rsidRPr="00C61A59">
              <w:rPr>
                <w:sz w:val="22"/>
                <w:szCs w:val="22"/>
              </w:rPr>
              <w:br/>
              <w:t>241–248 GHz (Primary)</w:t>
            </w:r>
            <w:r w:rsidRPr="00C61A59">
              <w:rPr>
                <w:sz w:val="22"/>
                <w:szCs w:val="22"/>
              </w:rPr>
              <w:br/>
              <w:t>250-275 GHz (Primary)</w:t>
            </w:r>
            <w:r w:rsidRPr="00C61A59">
              <w:rPr>
                <w:sz w:val="22"/>
                <w:szCs w:val="22"/>
              </w:rPr>
              <w:br/>
              <w:t>275-323 GHz (Primary)</w:t>
            </w:r>
            <w:r w:rsidRPr="00C61A59">
              <w:rPr>
                <w:sz w:val="22"/>
                <w:szCs w:val="22"/>
              </w:rPr>
              <w:br/>
              <w:t>327-371 GHz (Primary)</w:t>
            </w:r>
            <w:r w:rsidRPr="00C61A59">
              <w:rPr>
                <w:sz w:val="22"/>
                <w:szCs w:val="22"/>
              </w:rPr>
              <w:br/>
              <w:t>388-424 GHz (Primary)</w:t>
            </w:r>
            <w:r w:rsidRPr="00C61A59">
              <w:rPr>
                <w:sz w:val="22"/>
                <w:szCs w:val="22"/>
              </w:rPr>
              <w:br/>
              <w:t xml:space="preserve">426-442 GHz (Primary) </w:t>
            </w:r>
            <w:r w:rsidRPr="00C61A59">
              <w:rPr>
                <w:sz w:val="22"/>
                <w:szCs w:val="22"/>
              </w:rPr>
              <w:br/>
              <w:t>453-510 GHz (Primary)</w:t>
            </w:r>
            <w:r w:rsidRPr="00C61A59">
              <w:rPr>
                <w:sz w:val="22"/>
                <w:szCs w:val="22"/>
              </w:rPr>
              <w:br/>
              <w:t>623-711 GHz (Primary)</w:t>
            </w:r>
            <w:r w:rsidRPr="00C61A59">
              <w:rPr>
                <w:sz w:val="22"/>
                <w:szCs w:val="22"/>
              </w:rPr>
              <w:br/>
              <w:t>795-909 GHz (Primary)</w:t>
            </w:r>
            <w:r w:rsidRPr="00C61A59">
              <w:rPr>
                <w:sz w:val="22"/>
                <w:szCs w:val="22"/>
              </w:rPr>
              <w:br/>
              <w:t>926-945 GHz (Primary)</w:t>
            </w:r>
          </w:p>
        </w:tc>
      </w:tr>
    </w:tbl>
    <w:p w14:paraId="2BB5DE60" w14:textId="77777777" w:rsidR="007E0239" w:rsidRPr="007E0239" w:rsidRDefault="007E0239" w:rsidP="00A1575A">
      <w:pPr>
        <w:pStyle w:val="EditorsNote"/>
        <w:spacing w:before="360"/>
        <w:rPr>
          <w:b/>
          <w:bCs/>
          <w:i w:val="0"/>
          <w:iCs w:val="0"/>
          <w:lang w:eastAsia="zh-CN"/>
        </w:rPr>
      </w:pPr>
    </w:p>
    <w:sectPr w:rsidR="007E0239" w:rsidRPr="007E0239" w:rsidSect="00D81604">
      <w:headerReference w:type="default" r:id="rId18"/>
      <w:footerReference w:type="default" r:id="rId19"/>
      <w:headerReference w:type="first" r:id="rId20"/>
      <w:footerReference w:type="first" r:id="rId21"/>
      <w:pgSz w:w="11907" w:h="16834"/>
      <w:pgMar w:top="1411" w:right="1138" w:bottom="1411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67DC2" w14:textId="77777777" w:rsidR="00957783" w:rsidRDefault="00957783">
      <w:r>
        <w:separator/>
      </w:r>
    </w:p>
  </w:endnote>
  <w:endnote w:type="continuationSeparator" w:id="0">
    <w:p w14:paraId="595276A1" w14:textId="77777777" w:rsidR="00957783" w:rsidRDefault="0095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A25A2" w14:textId="4206A9FF" w:rsidR="002D325C" w:rsidRDefault="002D325C" w:rsidP="002D325C">
    <w:pPr>
      <w:pStyle w:val="Footer"/>
    </w:pPr>
    <w:bookmarkStart w:id="7" w:name="TITUS1FooterPrimary"/>
    <w:r w:rsidRPr="002D325C">
      <w:rPr>
        <w:color w:val="000000"/>
        <w:sz w:val="17"/>
      </w:rPr>
      <w:t>  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122FA" w14:textId="5507E5BE" w:rsidR="002D325C" w:rsidRDefault="002D325C" w:rsidP="002D325C">
    <w:pPr>
      <w:pStyle w:val="Footer"/>
    </w:pPr>
    <w:bookmarkStart w:id="8" w:name="TITUS1FooterFirstPage"/>
    <w:r w:rsidRPr="002D325C">
      <w:rPr>
        <w:color w:val="000000"/>
        <w:sz w:val="17"/>
      </w:rPr>
      <w:t>  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E9732" w14:textId="77777777" w:rsidR="00957783" w:rsidRDefault="00957783">
      <w:r>
        <w:t>____________________</w:t>
      </w:r>
    </w:p>
  </w:footnote>
  <w:footnote w:type="continuationSeparator" w:id="0">
    <w:p w14:paraId="6ADF2B01" w14:textId="77777777" w:rsidR="00957783" w:rsidRDefault="00957783">
      <w:r>
        <w:continuationSeparator/>
      </w:r>
    </w:p>
  </w:footnote>
  <w:footnote w:id="1">
    <w:p w14:paraId="59D92225" w14:textId="7AA07C31" w:rsidR="002D546E" w:rsidRPr="007E0239" w:rsidRDefault="002D546E" w:rsidP="002D546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E0239">
        <w:rPr>
          <w:rStyle w:val="FootnoteReference"/>
        </w:rPr>
        <w:t>,2</w:t>
      </w:r>
      <w:r w:rsidRPr="00EA1174">
        <w:t xml:space="preserve"> The frequencies utilized by these RQZ locations are a mixture of primary and secondary radio astronomy bands. Furthermore, bands not allocated to radio astronomy are employed under Radio Regulation No. 4.4.</w:t>
      </w:r>
      <w:r>
        <w:t xml:space="preserve"> See the Annex for more information.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97D0" w14:textId="03A3550F" w:rsidR="002D325C" w:rsidRPr="00DD244A" w:rsidRDefault="00DD244A" w:rsidP="00DD244A">
    <w:pPr>
      <w:pStyle w:val="Header"/>
    </w:pPr>
    <w:r w:rsidRPr="00E17829">
      <w:t>THIS DRAFT DOCUMENT IS NOT NECESSARILY A U.S. POSITION AND IS SUBJECT TO CHANGE.</w:t>
    </w:r>
  </w:p>
  <w:p w14:paraId="5E450AD0" w14:textId="26204BC5" w:rsidR="00A1575A" w:rsidRDefault="00A1575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795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19BCA66E" w14:textId="35441CD8" w:rsidR="00A1575A" w:rsidRDefault="00A1575A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4998" w14:textId="215E7BA6" w:rsidR="002D325C" w:rsidRDefault="002D325C" w:rsidP="002D325C">
    <w:pPr>
      <w:pStyle w:val="Header"/>
    </w:pPr>
  </w:p>
  <w:p w14:paraId="02047F99" w14:textId="77777777" w:rsidR="00A1575A" w:rsidRDefault="00A157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B9"/>
    <w:rsid w:val="000069D4"/>
    <w:rsid w:val="000174AD"/>
    <w:rsid w:val="00047A1D"/>
    <w:rsid w:val="000604B9"/>
    <w:rsid w:val="000662AB"/>
    <w:rsid w:val="00085CEB"/>
    <w:rsid w:val="000A7D55"/>
    <w:rsid w:val="000C12C8"/>
    <w:rsid w:val="000C2E8E"/>
    <w:rsid w:val="000C2F90"/>
    <w:rsid w:val="000C5D96"/>
    <w:rsid w:val="000E0E7C"/>
    <w:rsid w:val="000F0ABF"/>
    <w:rsid w:val="000F1B4B"/>
    <w:rsid w:val="0010149D"/>
    <w:rsid w:val="00106B23"/>
    <w:rsid w:val="0012744F"/>
    <w:rsid w:val="00131178"/>
    <w:rsid w:val="00144468"/>
    <w:rsid w:val="00151F47"/>
    <w:rsid w:val="00156F66"/>
    <w:rsid w:val="00157C0A"/>
    <w:rsid w:val="00163271"/>
    <w:rsid w:val="001670A1"/>
    <w:rsid w:val="00172122"/>
    <w:rsid w:val="00182528"/>
    <w:rsid w:val="0018500B"/>
    <w:rsid w:val="0019354E"/>
    <w:rsid w:val="001936A3"/>
    <w:rsid w:val="00196A19"/>
    <w:rsid w:val="001A2AB4"/>
    <w:rsid w:val="001B5225"/>
    <w:rsid w:val="001F2174"/>
    <w:rsid w:val="00202DC1"/>
    <w:rsid w:val="002116EE"/>
    <w:rsid w:val="002309D8"/>
    <w:rsid w:val="002732CB"/>
    <w:rsid w:val="00285955"/>
    <w:rsid w:val="00286FCF"/>
    <w:rsid w:val="002A51EE"/>
    <w:rsid w:val="002A7FE2"/>
    <w:rsid w:val="002B1357"/>
    <w:rsid w:val="002C061F"/>
    <w:rsid w:val="002D325C"/>
    <w:rsid w:val="002D546E"/>
    <w:rsid w:val="002D5FA1"/>
    <w:rsid w:val="002E1B4F"/>
    <w:rsid w:val="002E2FED"/>
    <w:rsid w:val="002F2E67"/>
    <w:rsid w:val="002F7CB3"/>
    <w:rsid w:val="00303C2E"/>
    <w:rsid w:val="00310830"/>
    <w:rsid w:val="00315546"/>
    <w:rsid w:val="003225D5"/>
    <w:rsid w:val="00330567"/>
    <w:rsid w:val="003377BD"/>
    <w:rsid w:val="00354665"/>
    <w:rsid w:val="0036395E"/>
    <w:rsid w:val="00386A9D"/>
    <w:rsid w:val="00391081"/>
    <w:rsid w:val="003A444B"/>
    <w:rsid w:val="003B2789"/>
    <w:rsid w:val="003C13CE"/>
    <w:rsid w:val="003C5BB0"/>
    <w:rsid w:val="003C697E"/>
    <w:rsid w:val="003E2518"/>
    <w:rsid w:val="003E7CEF"/>
    <w:rsid w:val="00442A58"/>
    <w:rsid w:val="00471683"/>
    <w:rsid w:val="0048509E"/>
    <w:rsid w:val="00491451"/>
    <w:rsid w:val="004B1EF7"/>
    <w:rsid w:val="004B3FAD"/>
    <w:rsid w:val="004C5749"/>
    <w:rsid w:val="004E1BAF"/>
    <w:rsid w:val="004E6AC5"/>
    <w:rsid w:val="004F3E49"/>
    <w:rsid w:val="00501DCA"/>
    <w:rsid w:val="00513A47"/>
    <w:rsid w:val="00513CEC"/>
    <w:rsid w:val="00515846"/>
    <w:rsid w:val="00536374"/>
    <w:rsid w:val="005408DF"/>
    <w:rsid w:val="00545FFD"/>
    <w:rsid w:val="0056545B"/>
    <w:rsid w:val="00573344"/>
    <w:rsid w:val="00583F9B"/>
    <w:rsid w:val="005A4F88"/>
    <w:rsid w:val="005B0D29"/>
    <w:rsid w:val="005E1443"/>
    <w:rsid w:val="005E5C10"/>
    <w:rsid w:val="005F2C78"/>
    <w:rsid w:val="005F7E1E"/>
    <w:rsid w:val="00605A33"/>
    <w:rsid w:val="006144E4"/>
    <w:rsid w:val="00650299"/>
    <w:rsid w:val="00655FC5"/>
    <w:rsid w:val="00670147"/>
    <w:rsid w:val="006B7DF0"/>
    <w:rsid w:val="006F7C06"/>
    <w:rsid w:val="00726350"/>
    <w:rsid w:val="00731DCE"/>
    <w:rsid w:val="00732D1F"/>
    <w:rsid w:val="007530AD"/>
    <w:rsid w:val="007551B2"/>
    <w:rsid w:val="007571C9"/>
    <w:rsid w:val="00777442"/>
    <w:rsid w:val="007B4ADA"/>
    <w:rsid w:val="007C1E46"/>
    <w:rsid w:val="007E0239"/>
    <w:rsid w:val="00800BBE"/>
    <w:rsid w:val="0080538C"/>
    <w:rsid w:val="00814E0A"/>
    <w:rsid w:val="00822581"/>
    <w:rsid w:val="00824FB9"/>
    <w:rsid w:val="008309DD"/>
    <w:rsid w:val="0083227A"/>
    <w:rsid w:val="00834A88"/>
    <w:rsid w:val="00843006"/>
    <w:rsid w:val="00850C5D"/>
    <w:rsid w:val="00866900"/>
    <w:rsid w:val="00872296"/>
    <w:rsid w:val="00876A8A"/>
    <w:rsid w:val="00877938"/>
    <w:rsid w:val="00881BA1"/>
    <w:rsid w:val="008853DE"/>
    <w:rsid w:val="00893260"/>
    <w:rsid w:val="008C2302"/>
    <w:rsid w:val="008C26B8"/>
    <w:rsid w:val="008D1D0A"/>
    <w:rsid w:val="008D2B30"/>
    <w:rsid w:val="008F208F"/>
    <w:rsid w:val="008F3C89"/>
    <w:rsid w:val="00914B18"/>
    <w:rsid w:val="00957783"/>
    <w:rsid w:val="00982084"/>
    <w:rsid w:val="00995963"/>
    <w:rsid w:val="009A51BE"/>
    <w:rsid w:val="009B09F2"/>
    <w:rsid w:val="009B61EB"/>
    <w:rsid w:val="009C185B"/>
    <w:rsid w:val="009C2064"/>
    <w:rsid w:val="009C2072"/>
    <w:rsid w:val="009C500E"/>
    <w:rsid w:val="009D1697"/>
    <w:rsid w:val="009F3A46"/>
    <w:rsid w:val="009F6520"/>
    <w:rsid w:val="00A014F8"/>
    <w:rsid w:val="00A1575A"/>
    <w:rsid w:val="00A3188B"/>
    <w:rsid w:val="00A5173C"/>
    <w:rsid w:val="00A5367A"/>
    <w:rsid w:val="00A60DDF"/>
    <w:rsid w:val="00A61AEF"/>
    <w:rsid w:val="00A64F18"/>
    <w:rsid w:val="00AA5331"/>
    <w:rsid w:val="00AD2345"/>
    <w:rsid w:val="00AF173A"/>
    <w:rsid w:val="00B066A4"/>
    <w:rsid w:val="00B07A13"/>
    <w:rsid w:val="00B37082"/>
    <w:rsid w:val="00B4279B"/>
    <w:rsid w:val="00B45FC9"/>
    <w:rsid w:val="00B55458"/>
    <w:rsid w:val="00B76F35"/>
    <w:rsid w:val="00B81138"/>
    <w:rsid w:val="00BB46BE"/>
    <w:rsid w:val="00BC7CCF"/>
    <w:rsid w:val="00BE470B"/>
    <w:rsid w:val="00BF0BEB"/>
    <w:rsid w:val="00C166C2"/>
    <w:rsid w:val="00C57A91"/>
    <w:rsid w:val="00C61A59"/>
    <w:rsid w:val="00C842F4"/>
    <w:rsid w:val="00CC01C2"/>
    <w:rsid w:val="00CD6E19"/>
    <w:rsid w:val="00CF21F2"/>
    <w:rsid w:val="00D02712"/>
    <w:rsid w:val="00D046A7"/>
    <w:rsid w:val="00D214D0"/>
    <w:rsid w:val="00D325D2"/>
    <w:rsid w:val="00D636EF"/>
    <w:rsid w:val="00D6546B"/>
    <w:rsid w:val="00D81604"/>
    <w:rsid w:val="00D825B5"/>
    <w:rsid w:val="00D82FE5"/>
    <w:rsid w:val="00DB178B"/>
    <w:rsid w:val="00DC17D3"/>
    <w:rsid w:val="00DD244A"/>
    <w:rsid w:val="00DD4BED"/>
    <w:rsid w:val="00DE39F0"/>
    <w:rsid w:val="00DE3F13"/>
    <w:rsid w:val="00DF0AF3"/>
    <w:rsid w:val="00DF7E9F"/>
    <w:rsid w:val="00E10644"/>
    <w:rsid w:val="00E16249"/>
    <w:rsid w:val="00E27D7E"/>
    <w:rsid w:val="00E3591C"/>
    <w:rsid w:val="00E35CEF"/>
    <w:rsid w:val="00E36BAD"/>
    <w:rsid w:val="00E42E13"/>
    <w:rsid w:val="00E50EB1"/>
    <w:rsid w:val="00E56D5C"/>
    <w:rsid w:val="00E6257C"/>
    <w:rsid w:val="00E63C59"/>
    <w:rsid w:val="00EA1174"/>
    <w:rsid w:val="00EE7956"/>
    <w:rsid w:val="00F02EB1"/>
    <w:rsid w:val="00F1531E"/>
    <w:rsid w:val="00F25662"/>
    <w:rsid w:val="00F50272"/>
    <w:rsid w:val="00F97041"/>
    <w:rsid w:val="00FA124A"/>
    <w:rsid w:val="00FC08DD"/>
    <w:rsid w:val="00FC2316"/>
    <w:rsid w:val="00FC2CFD"/>
    <w:rsid w:val="00FC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791E3"/>
  <w15:docId w15:val="{624113B3-4AC9-4A5B-B236-1E7AEA4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,H1,h1,h11,h12,h13,h14,h15,h16,h17,h111,h121,h131,h141,h151,h161,h18,h112,h122,h132,h142,h152,h162,h19,h113,h123,h133,h143,h153,h163,1,l1,II+,I,Section Head,Chapter Heading,h:1,h:1app,app heading 1,Head 1 (Chapter heading),Titre§,H,H11"/>
    <w:basedOn w:val="Normal"/>
    <w:next w:val="Normal"/>
    <w:link w:val="Heading1Char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link w:val="RecNoChar1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link w:val="SourceChar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link w:val="TableNoChar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customStyle="1" w:styleId="TableGrid1">
    <w:name w:val="Table Grid1"/>
    <w:basedOn w:val="TableNormal"/>
    <w:next w:val="TableGrid"/>
    <w:rsid w:val="003A444B"/>
    <w:pPr>
      <w:widowControl w:val="0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A444B"/>
    <w:pPr>
      <w:widowControl w:val="0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efaultParagraphFont"/>
    <w:rsid w:val="003A444B"/>
  </w:style>
  <w:style w:type="table" w:styleId="TableGrid">
    <w:name w:val="Table Grid"/>
    <w:basedOn w:val="TableNormal"/>
    <w:rsid w:val="003A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444B"/>
    <w:rPr>
      <w:rFonts w:ascii="Times New Roman" w:hAnsi="Times New Roman"/>
      <w:sz w:val="24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unhideWhenUsed/>
    <w:rsid w:val="00A1575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1575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A1575A"/>
    <w:rPr>
      <w:rFonts w:ascii="Arial" w:hAnsi="Arial"/>
      <w:sz w:val="24"/>
      <w:lang w:eastAsia="en-US"/>
    </w:rPr>
  </w:style>
  <w:style w:type="character" w:customStyle="1" w:styleId="href">
    <w:name w:val="href"/>
    <w:basedOn w:val="DefaultParagraphFont"/>
    <w:rsid w:val="00A1575A"/>
  </w:style>
  <w:style w:type="character" w:customStyle="1" w:styleId="RecNoChar1">
    <w:name w:val="Rec_No Char1"/>
    <w:basedOn w:val="DefaultParagraphFont"/>
    <w:link w:val="RecNo"/>
    <w:rsid w:val="00A1575A"/>
    <w:rPr>
      <w:rFonts w:ascii="Times New Roman" w:hAnsi="Times New Roman"/>
      <w:caps/>
      <w:sz w:val="28"/>
      <w:lang w:val="en-GB" w:eastAsia="en-US"/>
    </w:rPr>
  </w:style>
  <w:style w:type="character" w:customStyle="1" w:styleId="SourceChar">
    <w:name w:val="Source Char"/>
    <w:link w:val="Source"/>
    <w:locked/>
    <w:rsid w:val="00A1575A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rsid w:val="00A1575A"/>
    <w:rPr>
      <w:rFonts w:ascii="Times New Roman" w:hAnsi="Times New Roman"/>
      <w:caps/>
      <w:sz w:val="28"/>
      <w:lang w:val="en-GB" w:eastAsia="en-US"/>
    </w:rPr>
  </w:style>
  <w:style w:type="character" w:customStyle="1" w:styleId="TableNoChar">
    <w:name w:val="Table_No Char"/>
    <w:link w:val="TableNo"/>
    <w:rsid w:val="00E50EB1"/>
    <w:rPr>
      <w:rFonts w:ascii="Times New Roman" w:hAnsi="Times New Roman"/>
      <w:cap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25D5"/>
    <w:rPr>
      <w:color w:val="605E5C"/>
      <w:shd w:val="clear" w:color="auto" w:fill="E1DFDD"/>
    </w:rPr>
  </w:style>
  <w:style w:type="character" w:customStyle="1" w:styleId="Heading1Char">
    <w:name w:val="Heading 1 Char"/>
    <w:aliases w:val="título 1 Char,H1 Char,h1 Char,h11 Char,h12 Char,h13 Char,h14 Char,h15 Char,h16 Char,h17 Char,h111 Char,h121 Char,h131 Char,h141 Char,h151 Char,h161 Char,h18 Char,h112 Char,h122 Char,h132 Char,h142 Char,h152 Char,h162 Char,h19 Char,1 Char"/>
    <w:link w:val="Heading1"/>
    <w:rsid w:val="00CD6E19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77744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E02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023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023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0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023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pshtey@amazon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hbarvar@amazon.com" TargetMode="External"/><Relationship Id="rId17" Type="http://schemas.openxmlformats.org/officeDocument/2006/relationships/hyperlink" Target="https://www.itu.int/md/meetingdoc.asp?lang=en&amp;parent=R23-WP7D-C-0058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meetingdoc.asp?lang=en&amp;parent=R23-WP7D-C-0058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R23-WP7D-C-005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R23-WP7d-C-0041/en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hofer@amazon.co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7D</Value>
    </Working_x0020_Parties>
    <Publish_x0020_Date xmlns="c132312a-5465-4f8a-b372-bfe1bb8bb61b">2024-08-15T04:00:00+00:00</Publish_x0020_Date>
    <Approved_x0020_GUID xmlns="c132312a-5465-4f8a-b372-bfe1bb8bb61b">e552aeb0-5370-49d0-b049-91fd8d637fea</Approved_x0020_GUID>
    <Document_x0020_Number xmlns="c132312a-5465-4f8a-b372-bfe1bb8bb61b">Draft Reply Liaison Statement to WP4A on WRC-27 AI 1.16</Document_x0020_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44A7-75A2-4933-AC0D-7B0ED7359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A687B-3598-4182-B69C-96BE5119F358}">
  <ds:schemaRefs>
    <ds:schemaRef ds:uri="http://schemas.microsoft.com/office/2006/metadata/properties"/>
    <ds:schemaRef ds:uri="http://schemas.microsoft.com/office/infopath/2007/PartnerControls"/>
    <ds:schemaRef ds:uri="71db92ef-6cd6-48f6-b3e7-a8fd5c259805"/>
    <ds:schemaRef ds:uri="bda85abd-f79d-4654-9409-a381b876f834"/>
  </ds:schemaRefs>
</ds:datastoreItem>
</file>

<file path=customXml/itemProps3.xml><?xml version="1.0" encoding="utf-8"?>
<ds:datastoreItem xmlns:ds="http://schemas.openxmlformats.org/officeDocument/2006/customXml" ds:itemID="{1C840F3D-AE95-46CB-A858-1D9137CABA3D}"/>
</file>

<file path=customXml/itemProps4.xml><?xml version="1.0" encoding="utf-8"?>
<ds:datastoreItem xmlns:ds="http://schemas.openxmlformats.org/officeDocument/2006/customXml" ds:itemID="{4A065980-EE66-43E8-B9B3-6F0FA16B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6</TotalTime>
  <Pages>5</Pages>
  <Words>856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USWP7D_24-04</vt:lpstr>
    </vt:vector>
  </TitlesOfParts>
  <Company>ITU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USWP7D_24-04_NC</dc:title>
  <dc:creator>Barvar, Hastyar</dc:creator>
  <cp:lastModifiedBy>USA</cp:lastModifiedBy>
  <cp:revision>10</cp:revision>
  <cp:lastPrinted>2008-02-21T14:04:00Z</cp:lastPrinted>
  <dcterms:created xsi:type="dcterms:W3CDTF">2024-08-15T15:47:00Z</dcterms:created>
  <dcterms:modified xsi:type="dcterms:W3CDTF">2024-08-15T20:38:00Z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0x0101001C62CEA94D81764480E3FBEF85E88692</vt:lpwstr>
  </property>
  <property fmtid="{D5CDD505-2E9C-101B-9397-08002B2CF9AE}" pid="6" name="TitusGUID">
    <vt:lpwstr>0b460b48-ab12-4947-a7e0-9445f39b2af2</vt:lpwstr>
  </property>
  <property fmtid="{D5CDD505-2E9C-101B-9397-08002B2CF9AE}" pid="7" name="ContainsCUI">
    <vt:lpwstr>No</vt:lpwstr>
  </property>
  <property fmtid="{D5CDD505-2E9C-101B-9397-08002B2CF9AE}" pid="8" name="MSIP_Label_80c748a0-2ff9-441a-82d5-30ac767f9d6f_Enabled">
    <vt:lpwstr>true</vt:lpwstr>
  </property>
  <property fmtid="{D5CDD505-2E9C-101B-9397-08002B2CF9AE}" pid="9" name="MSIP_Label_80c748a0-2ff9-441a-82d5-30ac767f9d6f_SetDate">
    <vt:lpwstr>2024-07-16T14:09:22Z</vt:lpwstr>
  </property>
  <property fmtid="{D5CDD505-2E9C-101B-9397-08002B2CF9AE}" pid="10" name="MSIP_Label_80c748a0-2ff9-441a-82d5-30ac767f9d6f_Method">
    <vt:lpwstr>Standard</vt:lpwstr>
  </property>
  <property fmtid="{D5CDD505-2E9C-101B-9397-08002B2CF9AE}" pid="11" name="MSIP_Label_80c748a0-2ff9-441a-82d5-30ac767f9d6f_Name">
    <vt:lpwstr>OneWeb Proprietary</vt:lpwstr>
  </property>
  <property fmtid="{D5CDD505-2E9C-101B-9397-08002B2CF9AE}" pid="12" name="MSIP_Label_80c748a0-2ff9-441a-82d5-30ac767f9d6f_SiteId">
    <vt:lpwstr>d81db6ff-4c7d-4a1d-b562-81e85431d5ba</vt:lpwstr>
  </property>
  <property fmtid="{D5CDD505-2E9C-101B-9397-08002B2CF9AE}" pid="13" name="MSIP_Label_80c748a0-2ff9-441a-82d5-30ac767f9d6f_ActionId">
    <vt:lpwstr>f14db4e0-d3f3-45bc-bf03-432d3cdc7eef</vt:lpwstr>
  </property>
  <property fmtid="{D5CDD505-2E9C-101B-9397-08002B2CF9AE}" pid="14" name="MSIP_Label_80c748a0-2ff9-441a-82d5-30ac767f9d6f_ContentBits">
    <vt:lpwstr>0</vt:lpwstr>
  </property>
</Properties>
</file>